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BFD" w:rsidRDefault="00462BFD" w:rsidP="00462BFD">
      <w:pPr>
        <w:jc w:val="center"/>
        <w:rPr>
          <w:b/>
          <w:color w:val="0070C0"/>
          <w:sz w:val="36"/>
          <w:szCs w:val="36"/>
        </w:rPr>
      </w:pPr>
      <w:r>
        <w:rPr>
          <w:b/>
          <w:noProof/>
          <w:color w:val="0070C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0A8E6" wp14:editId="6B2C34C0">
                <wp:simplePos x="0" y="0"/>
                <wp:positionH relativeFrom="column">
                  <wp:posOffset>1541480</wp:posOffset>
                </wp:positionH>
                <wp:positionV relativeFrom="paragraph">
                  <wp:posOffset>-735893</wp:posOffset>
                </wp:positionV>
                <wp:extent cx="2467155" cy="879894"/>
                <wp:effectExtent l="0" t="0" r="9525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155" cy="879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BFD" w:rsidRDefault="00462BFD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B1C0BAA" wp14:editId="6DF83692">
                                  <wp:extent cx="2277745" cy="786419"/>
                                  <wp:effectExtent l="0" t="0" r="8255" b="0"/>
                                  <wp:docPr id="9" name="Image 9" descr="Logo ULISS bandeau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Logo ULISS bandeau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7745" cy="7864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121.4pt;margin-top:-57.95pt;width:194.25pt;height:69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" fillcolor="white [3201]" stroked="f" strokeweight=".5pt">
                <v:textbox>
                  <w:txbxContent>
                    <w:p w:rsidR="00462BFD" w:rsidRDefault="00462BFD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B1C0BAA" wp14:editId="6DF83692">
                            <wp:extent cx="2277745" cy="786419"/>
                            <wp:effectExtent l="0" t="0" r="8255" b="0"/>
                            <wp:docPr id="9" name="Image 9" descr="Logo ULISS bandea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Logo ULISS bandeau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77745" cy="7864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96721" w:rsidRPr="00560B50" w:rsidRDefault="00CD1E82" w:rsidP="00462BFD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jc w:val="center"/>
        <w:rPr>
          <w:b/>
          <w:color w:val="0070C0"/>
          <w:sz w:val="36"/>
          <w:szCs w:val="36"/>
        </w:rPr>
      </w:pPr>
      <w:r w:rsidRPr="00560B50">
        <w:rPr>
          <w:b/>
          <w:color w:val="0070C0"/>
          <w:sz w:val="36"/>
          <w:szCs w:val="36"/>
        </w:rPr>
        <w:t xml:space="preserve">Charte </w:t>
      </w:r>
      <w:r w:rsidR="005E4FB1" w:rsidRPr="00560B50">
        <w:rPr>
          <w:b/>
          <w:color w:val="0070C0"/>
          <w:sz w:val="36"/>
          <w:szCs w:val="36"/>
        </w:rPr>
        <w:t>d’</w:t>
      </w:r>
      <w:r w:rsidRPr="00560B50">
        <w:rPr>
          <w:b/>
          <w:color w:val="0070C0"/>
          <w:sz w:val="36"/>
          <w:szCs w:val="36"/>
        </w:rPr>
        <w:t>éthique</w:t>
      </w:r>
    </w:p>
    <w:p w:rsidR="00551A58" w:rsidRDefault="00551A58" w:rsidP="004545CE">
      <w:pPr>
        <w:jc w:val="center"/>
        <w:rPr>
          <w:sz w:val="36"/>
          <w:szCs w:val="36"/>
        </w:rPr>
      </w:pPr>
    </w:p>
    <w:p w:rsidR="004545CE" w:rsidRPr="00F05CBB" w:rsidRDefault="00F05CBB" w:rsidP="00F05CBB">
      <w:pPr>
        <w:pStyle w:val="Sansinterligne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1. </w:t>
      </w:r>
      <w:r w:rsidR="000747F1" w:rsidRPr="00F05CBB">
        <w:rPr>
          <w:b/>
          <w:color w:val="0070C0"/>
          <w:sz w:val="28"/>
          <w:szCs w:val="28"/>
        </w:rPr>
        <w:t xml:space="preserve">Un grand acheteur public </w:t>
      </w:r>
      <w:r w:rsidR="00560B50" w:rsidRPr="00F05CBB">
        <w:rPr>
          <w:b/>
          <w:color w:val="0070C0"/>
          <w:sz w:val="28"/>
          <w:szCs w:val="28"/>
        </w:rPr>
        <w:t>doit être éthique</w:t>
      </w:r>
    </w:p>
    <w:p w:rsidR="00DB3591" w:rsidRPr="00F05CBB" w:rsidRDefault="00DB3591" w:rsidP="00F05CBB">
      <w:pPr>
        <w:pStyle w:val="Sansinterligne"/>
        <w:jc w:val="right"/>
        <w:rPr>
          <w:b/>
          <w:color w:val="0070C0"/>
          <w:sz w:val="24"/>
          <w:szCs w:val="24"/>
        </w:rPr>
      </w:pPr>
    </w:p>
    <w:p w:rsidR="009806DD" w:rsidRPr="00F05CBB" w:rsidRDefault="00F05CBB" w:rsidP="00F05CBB">
      <w:pPr>
        <w:pStyle w:val="Sansinterligne"/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>1.1.</w:t>
      </w:r>
      <w:r w:rsidRPr="00F05CBB">
        <w:rPr>
          <w:b/>
          <w:i/>
          <w:color w:val="0070C0"/>
          <w:sz w:val="24"/>
          <w:szCs w:val="24"/>
        </w:rPr>
        <w:t xml:space="preserve"> Une</w:t>
      </w:r>
      <w:r w:rsidR="00DB3591" w:rsidRPr="00F05CBB">
        <w:rPr>
          <w:b/>
          <w:i/>
          <w:color w:val="0070C0"/>
          <w:sz w:val="24"/>
          <w:szCs w:val="24"/>
        </w:rPr>
        <w:t xml:space="preserve"> masse d’achat impose des responsabilités</w:t>
      </w:r>
    </w:p>
    <w:p w:rsidR="00DB3591" w:rsidRPr="00551A58" w:rsidRDefault="00DB3591" w:rsidP="00DB3591">
      <w:pPr>
        <w:pStyle w:val="Paragraphedeliste"/>
        <w:ind w:left="567"/>
        <w:jc w:val="both"/>
        <w:rPr>
          <w:b/>
          <w:sz w:val="24"/>
          <w:szCs w:val="24"/>
        </w:rPr>
      </w:pPr>
    </w:p>
    <w:p w:rsidR="000747F1" w:rsidRDefault="00560B50" w:rsidP="00653D62">
      <w:pPr>
        <w:jc w:val="both"/>
      </w:pPr>
      <w:r>
        <w:rPr>
          <w:color w:val="0000FF"/>
        </w:rPr>
        <w:t>L</w:t>
      </w:r>
      <w:r w:rsidR="00653D62">
        <w:t xml:space="preserve">es grands groupements de commandes zonaux </w:t>
      </w:r>
      <w:r w:rsidR="000166F8">
        <w:t xml:space="preserve">de SDIS </w:t>
      </w:r>
      <w:r w:rsidR="00653D62">
        <w:t>ou le groupement national ULISS</w:t>
      </w:r>
      <w:r w:rsidR="0047435E">
        <w:t xml:space="preserve"> représente</w:t>
      </w:r>
      <w:r w:rsidR="00653D62">
        <w:t>nt</w:t>
      </w:r>
      <w:r w:rsidR="0047435E">
        <w:t xml:space="preserve"> une masse </w:t>
      </w:r>
      <w:r w:rsidR="00466490">
        <w:t xml:space="preserve">d’achat </w:t>
      </w:r>
      <w:r w:rsidR="0047435E">
        <w:t>considérable face à certaines entreprises</w:t>
      </w:r>
      <w:r w:rsidR="000747F1">
        <w:t>.</w:t>
      </w:r>
    </w:p>
    <w:p w:rsidR="00697532" w:rsidRDefault="001448EF" w:rsidP="00653D62">
      <w:pPr>
        <w:jc w:val="both"/>
      </w:pPr>
      <w:r>
        <w:t>D’énormes</w:t>
      </w:r>
      <w:r w:rsidR="00697532">
        <w:t xml:space="preserve"> achats</w:t>
      </w:r>
      <w:r>
        <w:t xml:space="preserve">, peu, pas ou mal allotis, </w:t>
      </w:r>
      <w:r w:rsidR="004D1F53">
        <w:t xml:space="preserve">sans prise en compte des contraintes des industriels et </w:t>
      </w:r>
      <w:r w:rsidR="00697532">
        <w:t>sans étalement et avec un seul attributaire</w:t>
      </w:r>
      <w:r>
        <w:t xml:space="preserve"> par contrat,</w:t>
      </w:r>
      <w:r w:rsidR="00697532">
        <w:t xml:space="preserve"> peu</w:t>
      </w:r>
      <w:r w:rsidR="000747F1">
        <w:t>ven</w:t>
      </w:r>
      <w:r w:rsidR="00697532">
        <w:t>t être nuisible</w:t>
      </w:r>
      <w:r w:rsidR="000747F1">
        <w:t>s</w:t>
      </w:r>
      <w:r w:rsidR="00526675">
        <w:t xml:space="preserve"> </w:t>
      </w:r>
      <w:r w:rsidR="00697532">
        <w:t>:</w:t>
      </w:r>
    </w:p>
    <w:p w:rsidR="005A6FD9" w:rsidRDefault="005A6FD9" w:rsidP="005A6FD9">
      <w:pPr>
        <w:pStyle w:val="Paragraphedeliste"/>
        <w:numPr>
          <w:ilvl w:val="0"/>
          <w:numId w:val="3"/>
        </w:numPr>
        <w:jc w:val="both"/>
      </w:pPr>
      <w:r w:rsidRPr="00117B47">
        <w:rPr>
          <w:i/>
          <w:color w:val="0070C0"/>
        </w:rPr>
        <w:t>Pour les entreprises du secteur, petites ou très spécialisées</w:t>
      </w:r>
      <w:r>
        <w:t>, qui n’ont pas la taille ou la gamme pour candidater à des marchés non allotis, courts et mono-titulaires.</w:t>
      </w:r>
    </w:p>
    <w:p w:rsidR="00431E01" w:rsidRDefault="00431E01" w:rsidP="00431E01">
      <w:pPr>
        <w:pStyle w:val="Paragraphedeliste"/>
        <w:jc w:val="both"/>
      </w:pPr>
    </w:p>
    <w:p w:rsidR="001448EF" w:rsidRDefault="001448EF" w:rsidP="001448EF">
      <w:pPr>
        <w:pStyle w:val="Paragraphedeliste"/>
        <w:numPr>
          <w:ilvl w:val="0"/>
          <w:numId w:val="3"/>
        </w:numPr>
        <w:jc w:val="both"/>
      </w:pPr>
      <w:r w:rsidRPr="00117B47">
        <w:rPr>
          <w:i/>
          <w:color w:val="0070C0"/>
        </w:rPr>
        <w:t>Pour les candidats non retenus, privés de commandes, vitales pour eux</w:t>
      </w:r>
      <w:r w:rsidR="005A6FD9" w:rsidRPr="00117B47">
        <w:rPr>
          <w:color w:val="0070C0"/>
        </w:rPr>
        <w:t>,</w:t>
      </w:r>
      <w:r w:rsidR="005A6FD9">
        <w:t xml:space="preserve"> surtout dans des marchés « de niche » ;</w:t>
      </w:r>
    </w:p>
    <w:p w:rsidR="00431E01" w:rsidRDefault="00431E01" w:rsidP="00431E01">
      <w:pPr>
        <w:pStyle w:val="Paragraphedeliste"/>
      </w:pPr>
    </w:p>
    <w:p w:rsidR="005A6FD9" w:rsidRDefault="00697532" w:rsidP="00653D62">
      <w:pPr>
        <w:pStyle w:val="Paragraphedeliste"/>
        <w:numPr>
          <w:ilvl w:val="0"/>
          <w:numId w:val="3"/>
        </w:numPr>
        <w:jc w:val="both"/>
      </w:pPr>
      <w:r w:rsidRPr="00117B47">
        <w:rPr>
          <w:i/>
          <w:color w:val="0070C0"/>
        </w:rPr>
        <w:t xml:space="preserve">Pour </w:t>
      </w:r>
      <w:r w:rsidR="001448EF" w:rsidRPr="00117B47">
        <w:rPr>
          <w:i/>
          <w:color w:val="0070C0"/>
        </w:rPr>
        <w:t>le titulaire</w:t>
      </w:r>
      <w:r>
        <w:t xml:space="preserve">, </w:t>
      </w:r>
      <w:r w:rsidR="001448EF">
        <w:t xml:space="preserve">si </w:t>
      </w:r>
    </w:p>
    <w:p w:rsidR="005A6FD9" w:rsidRDefault="001448EF" w:rsidP="005A6FD9">
      <w:pPr>
        <w:pStyle w:val="Paragraphedeliste"/>
        <w:numPr>
          <w:ilvl w:val="1"/>
          <w:numId w:val="3"/>
        </w:numPr>
        <w:jc w:val="both"/>
      </w:pPr>
      <w:r>
        <w:t xml:space="preserve">pour emporter cette commande massive,  </w:t>
      </w:r>
      <w:r w:rsidR="005A6FD9">
        <w:t>il a baissé ses</w:t>
      </w:r>
      <w:r w:rsidR="00697532">
        <w:t xml:space="preserve"> prix</w:t>
      </w:r>
      <w:r w:rsidR="00466490">
        <w:t xml:space="preserve"> en deçà de leur point d’équilibre (même s’ils ne sont pas anormalement bas)</w:t>
      </w:r>
      <w:r w:rsidR="00697532">
        <w:t xml:space="preserve"> </w:t>
      </w:r>
    </w:p>
    <w:p w:rsidR="00697532" w:rsidRDefault="00C3460E" w:rsidP="005A6FD9">
      <w:pPr>
        <w:pStyle w:val="Paragraphedeliste"/>
        <w:numPr>
          <w:ilvl w:val="1"/>
          <w:numId w:val="3"/>
        </w:numPr>
        <w:jc w:val="both"/>
      </w:pPr>
      <w:r>
        <w:t xml:space="preserve">il </w:t>
      </w:r>
      <w:r w:rsidR="005A6FD9">
        <w:t>a</w:t>
      </w:r>
      <w:r w:rsidR="00697532">
        <w:t xml:space="preserve"> de la difficulté à livrer dans les </w:t>
      </w:r>
      <w:r w:rsidR="00526675">
        <w:t>temps</w:t>
      </w:r>
      <w:r w:rsidR="00697532">
        <w:t xml:space="preserve"> </w:t>
      </w:r>
      <w:r w:rsidR="00526675">
        <w:t xml:space="preserve">cette masse, </w:t>
      </w:r>
      <w:r w:rsidR="00697532">
        <w:t>d’où des surcoûts pour tenir l</w:t>
      </w:r>
      <w:r w:rsidR="00526675">
        <w:t>es délais ou / et des pénalités de retard</w:t>
      </w:r>
      <w:r>
        <w:t>.</w:t>
      </w:r>
    </w:p>
    <w:p w:rsidR="00653D62" w:rsidRDefault="000747F1" w:rsidP="00653D62">
      <w:pPr>
        <w:jc w:val="both"/>
      </w:pPr>
      <w:r>
        <w:t>Ces</w:t>
      </w:r>
      <w:r w:rsidR="00526675">
        <w:t xml:space="preserve"> achats non éthiques </w:t>
      </w:r>
      <w:r>
        <w:t>mettent en péril le</w:t>
      </w:r>
      <w:r w:rsidR="00C3460E">
        <w:t xml:space="preserve"> tissu </w:t>
      </w:r>
      <w:r>
        <w:t>économique</w:t>
      </w:r>
      <w:r w:rsidR="00C3460E">
        <w:t xml:space="preserve"> </w:t>
      </w:r>
      <w:r w:rsidR="00192B2B">
        <w:t xml:space="preserve">de </w:t>
      </w:r>
      <w:r>
        <w:t>partenaire</w:t>
      </w:r>
      <w:r w:rsidR="001D7234">
        <w:t>s</w:t>
      </w:r>
      <w:r>
        <w:t xml:space="preserve"> des sapeurs-pompiers</w:t>
      </w:r>
      <w:r w:rsidR="00C3460E">
        <w:t>.</w:t>
      </w:r>
    </w:p>
    <w:p w:rsidR="00551A58" w:rsidRDefault="00551A58" w:rsidP="0047435E">
      <w:pPr>
        <w:rPr>
          <w:b/>
          <w:sz w:val="24"/>
          <w:szCs w:val="24"/>
        </w:rPr>
      </w:pPr>
    </w:p>
    <w:p w:rsidR="009806DD" w:rsidRPr="00F05CBB" w:rsidRDefault="00F05CBB" w:rsidP="00F05CBB">
      <w:pPr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1.2. </w:t>
      </w:r>
      <w:r w:rsidR="000747F1" w:rsidRPr="00F05CBB">
        <w:rPr>
          <w:b/>
          <w:i/>
          <w:color w:val="0070C0"/>
          <w:sz w:val="24"/>
          <w:szCs w:val="24"/>
        </w:rPr>
        <w:t>L’achat éthique est efficace</w:t>
      </w:r>
    </w:p>
    <w:p w:rsidR="0047435E" w:rsidRDefault="009806DD" w:rsidP="00171D0B">
      <w:pPr>
        <w:jc w:val="both"/>
      </w:pPr>
      <w:r>
        <w:t>Avec tous nos contractants et p</w:t>
      </w:r>
      <w:r w:rsidR="0047435E">
        <w:t>artic</w:t>
      </w:r>
      <w:r>
        <w:t>ulièrement ceux d</w:t>
      </w:r>
      <w:r w:rsidR="0047435E">
        <w:t>es secteurs dédiés à l’activité des sapeurs-pompiers</w:t>
      </w:r>
      <w:r w:rsidR="006F76DF">
        <w:t>, les objectifs sont de</w:t>
      </w:r>
      <w:r w:rsidR="0047435E">
        <w:t> :</w:t>
      </w:r>
    </w:p>
    <w:p w:rsidR="00431E01" w:rsidRDefault="00431E01" w:rsidP="00171D0B">
      <w:pPr>
        <w:jc w:val="both"/>
      </w:pPr>
    </w:p>
    <w:p w:rsidR="003F169F" w:rsidRPr="00431E01" w:rsidRDefault="00431E01" w:rsidP="00A17CA9">
      <w:pPr>
        <w:pStyle w:val="Paragraphedeliste"/>
        <w:numPr>
          <w:ilvl w:val="0"/>
          <w:numId w:val="2"/>
        </w:numPr>
        <w:pBdr>
          <w:top w:val="single" w:sz="4" w:space="6" w:color="0070C0"/>
          <w:left w:val="single" w:sz="4" w:space="4" w:color="0070C0"/>
          <w:bottom w:val="single" w:sz="4" w:space="6" w:color="0070C0"/>
          <w:right w:val="single" w:sz="4" w:space="4" w:color="0070C0"/>
        </w:pBdr>
        <w:rPr>
          <w:b/>
          <w:color w:val="0070C0"/>
          <w:sz w:val="24"/>
          <w:szCs w:val="24"/>
        </w:rPr>
      </w:pPr>
      <w:r w:rsidRPr="00431E01">
        <w:rPr>
          <w:b/>
          <w:color w:val="0070C0"/>
          <w:sz w:val="24"/>
          <w:szCs w:val="24"/>
        </w:rPr>
        <w:t>Passer</w:t>
      </w:r>
      <w:r w:rsidR="003F169F" w:rsidRPr="00431E01">
        <w:rPr>
          <w:b/>
          <w:color w:val="0070C0"/>
          <w:sz w:val="24"/>
          <w:szCs w:val="24"/>
        </w:rPr>
        <w:t xml:space="preserve"> des marchés </w:t>
      </w:r>
      <w:r w:rsidR="00F44A31" w:rsidRPr="00431E01">
        <w:rPr>
          <w:b/>
          <w:color w:val="0070C0"/>
          <w:sz w:val="24"/>
          <w:szCs w:val="24"/>
        </w:rPr>
        <w:t xml:space="preserve">équitables, </w:t>
      </w:r>
      <w:r w:rsidR="003F169F" w:rsidRPr="00431E01">
        <w:rPr>
          <w:b/>
          <w:color w:val="0070C0"/>
          <w:sz w:val="24"/>
          <w:szCs w:val="24"/>
        </w:rPr>
        <w:t>équilibrés et efficaces</w:t>
      </w:r>
    </w:p>
    <w:p w:rsidR="00AA5784" w:rsidRPr="00431E01" w:rsidRDefault="00AA5784" w:rsidP="00A17CA9">
      <w:pPr>
        <w:pStyle w:val="Paragraphedeliste"/>
        <w:numPr>
          <w:ilvl w:val="0"/>
          <w:numId w:val="2"/>
        </w:numPr>
        <w:pBdr>
          <w:top w:val="single" w:sz="4" w:space="6" w:color="0070C0"/>
          <w:left w:val="single" w:sz="4" w:space="4" w:color="0070C0"/>
          <w:bottom w:val="single" w:sz="4" w:space="6" w:color="0070C0"/>
          <w:right w:val="single" w:sz="4" w:space="4" w:color="0070C0"/>
        </w:pBdr>
        <w:rPr>
          <w:b/>
          <w:color w:val="0070C0"/>
          <w:sz w:val="24"/>
          <w:szCs w:val="24"/>
        </w:rPr>
      </w:pPr>
      <w:r w:rsidRPr="00431E01">
        <w:rPr>
          <w:b/>
          <w:color w:val="0070C0"/>
          <w:sz w:val="24"/>
          <w:szCs w:val="24"/>
        </w:rPr>
        <w:t>Ouvrir nos marchés aux petites entreprises</w:t>
      </w:r>
    </w:p>
    <w:p w:rsidR="00AA5784" w:rsidRPr="00431E01" w:rsidRDefault="0047435E" w:rsidP="00A17CA9">
      <w:pPr>
        <w:pStyle w:val="Paragraphedeliste"/>
        <w:numPr>
          <w:ilvl w:val="0"/>
          <w:numId w:val="2"/>
        </w:numPr>
        <w:pBdr>
          <w:top w:val="single" w:sz="4" w:space="6" w:color="0070C0"/>
          <w:left w:val="single" w:sz="4" w:space="4" w:color="0070C0"/>
          <w:bottom w:val="single" w:sz="4" w:space="6" w:color="0070C0"/>
          <w:right w:val="single" w:sz="4" w:space="4" w:color="0070C0"/>
        </w:pBdr>
        <w:rPr>
          <w:b/>
          <w:color w:val="0070C0"/>
          <w:sz w:val="24"/>
          <w:szCs w:val="24"/>
        </w:rPr>
      </w:pPr>
      <w:r w:rsidRPr="00431E01">
        <w:rPr>
          <w:b/>
          <w:color w:val="0070C0"/>
          <w:sz w:val="24"/>
          <w:szCs w:val="24"/>
        </w:rPr>
        <w:t>Contribuer à maintenir un tissu économique dynamique</w:t>
      </w:r>
    </w:p>
    <w:p w:rsidR="009E658A" w:rsidRDefault="009E658A" w:rsidP="0047435E">
      <w:pPr>
        <w:rPr>
          <w:b/>
        </w:rPr>
      </w:pPr>
    </w:p>
    <w:p w:rsidR="009E658A" w:rsidRDefault="009E658A" w:rsidP="0047435E">
      <w:pPr>
        <w:rPr>
          <w:b/>
        </w:rPr>
      </w:pPr>
    </w:p>
    <w:p w:rsidR="009E658A" w:rsidRDefault="009E658A" w:rsidP="0047435E">
      <w:pPr>
        <w:rPr>
          <w:b/>
        </w:rPr>
      </w:pPr>
    </w:p>
    <w:p w:rsidR="00F05CBB" w:rsidRDefault="00F05CBB" w:rsidP="0047435E">
      <w:pPr>
        <w:rPr>
          <w:b/>
        </w:rPr>
      </w:pPr>
    </w:p>
    <w:p w:rsidR="00F05CBB" w:rsidRDefault="00F05CBB" w:rsidP="0047435E">
      <w:pPr>
        <w:rPr>
          <w:b/>
        </w:rPr>
      </w:pPr>
    </w:p>
    <w:p w:rsidR="002D2CAB" w:rsidRPr="00F05CBB" w:rsidRDefault="00F05CBB" w:rsidP="00F05CBB">
      <w:pPr>
        <w:pStyle w:val="Sansinterligne"/>
        <w:jc w:val="right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2. </w:t>
      </w:r>
      <w:r w:rsidR="002D2CAB" w:rsidRPr="00F05CBB">
        <w:rPr>
          <w:b/>
          <w:color w:val="0070C0"/>
          <w:sz w:val="28"/>
          <w:szCs w:val="28"/>
        </w:rPr>
        <w:t>M</w:t>
      </w:r>
      <w:r w:rsidR="00431E01" w:rsidRPr="00F05CBB">
        <w:rPr>
          <w:b/>
          <w:color w:val="0070C0"/>
          <w:sz w:val="28"/>
          <w:szCs w:val="28"/>
        </w:rPr>
        <w:t>ettr</w:t>
      </w:r>
      <w:r w:rsidR="002D2CAB" w:rsidRPr="00F05CBB">
        <w:rPr>
          <w:b/>
          <w:color w:val="0070C0"/>
          <w:sz w:val="28"/>
          <w:szCs w:val="28"/>
        </w:rPr>
        <w:t>e en œuvre la charte</w:t>
      </w:r>
      <w:r w:rsidR="00431E01" w:rsidRPr="00F05CBB">
        <w:rPr>
          <w:b/>
          <w:color w:val="0070C0"/>
          <w:sz w:val="28"/>
          <w:szCs w:val="28"/>
        </w:rPr>
        <w:t xml:space="preserve"> d’éthique</w:t>
      </w:r>
    </w:p>
    <w:p w:rsidR="009E658A" w:rsidRPr="00F05CBB" w:rsidRDefault="009E658A" w:rsidP="00F05CBB">
      <w:pPr>
        <w:pStyle w:val="Sansinterligne"/>
        <w:jc w:val="right"/>
        <w:rPr>
          <w:b/>
          <w:color w:val="0070C0"/>
        </w:rPr>
      </w:pPr>
    </w:p>
    <w:p w:rsidR="0047435E" w:rsidRPr="00F05CBB" w:rsidRDefault="00F05CBB" w:rsidP="00F05CBB">
      <w:pPr>
        <w:pStyle w:val="Sansinterligne"/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2.1. </w:t>
      </w:r>
      <w:r w:rsidR="00117B47" w:rsidRPr="00F05CBB">
        <w:rPr>
          <w:b/>
          <w:i/>
          <w:color w:val="0070C0"/>
          <w:sz w:val="24"/>
          <w:szCs w:val="24"/>
        </w:rPr>
        <w:t>Tout se joue dès la</w:t>
      </w:r>
      <w:r w:rsidR="0047435E" w:rsidRPr="00F05CBB">
        <w:rPr>
          <w:b/>
          <w:i/>
          <w:color w:val="0070C0"/>
          <w:sz w:val="24"/>
          <w:szCs w:val="24"/>
        </w:rPr>
        <w:t xml:space="preserve"> </w:t>
      </w:r>
      <w:r w:rsidR="00AA5784" w:rsidRPr="00F05CBB">
        <w:rPr>
          <w:b/>
          <w:i/>
          <w:color w:val="0070C0"/>
          <w:sz w:val="24"/>
          <w:szCs w:val="24"/>
        </w:rPr>
        <w:t>préparation de la procédure</w:t>
      </w:r>
    </w:p>
    <w:p w:rsidR="00117B47" w:rsidRPr="002D2CAB" w:rsidRDefault="00117B47" w:rsidP="00117B47">
      <w:pPr>
        <w:pStyle w:val="Paragraphedeliste"/>
        <w:ind w:left="567"/>
        <w:rPr>
          <w:b/>
        </w:rPr>
      </w:pPr>
      <w:bookmarkStart w:id="0" w:name="_GoBack"/>
      <w:bookmarkEnd w:id="0"/>
    </w:p>
    <w:p w:rsidR="001D573E" w:rsidRPr="00117B47" w:rsidRDefault="001D573E" w:rsidP="00CD1E82">
      <w:pPr>
        <w:pStyle w:val="Paragraphedeliste"/>
        <w:numPr>
          <w:ilvl w:val="0"/>
          <w:numId w:val="1"/>
        </w:numPr>
        <w:rPr>
          <w:i/>
          <w:color w:val="0070C0"/>
        </w:rPr>
      </w:pPr>
      <w:r w:rsidRPr="00117B47">
        <w:rPr>
          <w:i/>
          <w:color w:val="0070C0"/>
        </w:rPr>
        <w:t>Détermination fine du besoin</w:t>
      </w:r>
      <w:r w:rsidR="00BC19A6" w:rsidRPr="00117B47">
        <w:rPr>
          <w:i/>
          <w:color w:val="0070C0"/>
        </w:rPr>
        <w:t xml:space="preserve"> et élimination de la sur-demande</w:t>
      </w:r>
    </w:p>
    <w:p w:rsidR="001D573E" w:rsidRDefault="001D573E" w:rsidP="001D573E">
      <w:pPr>
        <w:pStyle w:val="Paragraphedeliste"/>
        <w:numPr>
          <w:ilvl w:val="1"/>
          <w:numId w:val="1"/>
        </w:numPr>
      </w:pPr>
      <w:r>
        <w:t>Expression du contexte et de la mission en préambule des cahiers des charges</w:t>
      </w:r>
    </w:p>
    <w:p w:rsidR="001D573E" w:rsidRDefault="001D573E" w:rsidP="001D573E">
      <w:pPr>
        <w:pStyle w:val="Paragraphedeliste"/>
        <w:numPr>
          <w:ilvl w:val="1"/>
          <w:numId w:val="1"/>
        </w:numPr>
      </w:pPr>
      <w:r>
        <w:t>Distinction</w:t>
      </w:r>
      <w:r w:rsidR="007A0C03">
        <w:t xml:space="preserve"> entre l’indispensable (exigé par les cahiers des charges) et l’utile (noté en fonction de critères clairs et précis. Elimination de la sur-demande.</w:t>
      </w:r>
    </w:p>
    <w:p w:rsidR="00117B47" w:rsidRDefault="00117B47" w:rsidP="00117B47">
      <w:pPr>
        <w:pStyle w:val="Paragraphedeliste"/>
        <w:ind w:left="1440"/>
      </w:pPr>
    </w:p>
    <w:p w:rsidR="00CD1E82" w:rsidRDefault="00CD1E82" w:rsidP="00F11242">
      <w:pPr>
        <w:pStyle w:val="Paragraphedeliste"/>
        <w:numPr>
          <w:ilvl w:val="0"/>
          <w:numId w:val="1"/>
        </w:numPr>
        <w:jc w:val="both"/>
        <w:rPr>
          <w:color w:val="0070C0"/>
        </w:rPr>
      </w:pPr>
      <w:r w:rsidRPr="00117B47">
        <w:rPr>
          <w:i/>
          <w:color w:val="0070C0"/>
        </w:rPr>
        <w:t>Sourçage</w:t>
      </w:r>
      <w:r w:rsidR="000D7969" w:rsidRPr="00117B47">
        <w:rPr>
          <w:i/>
          <w:color w:val="0070C0"/>
        </w:rPr>
        <w:t xml:space="preserve"> </w:t>
      </w:r>
      <w:r w:rsidR="000D7969" w:rsidRPr="00117B47">
        <w:rPr>
          <w:color w:val="0070C0"/>
        </w:rPr>
        <w:t>(consultations préalables, étude du milieu économique et industriel)</w:t>
      </w:r>
    </w:p>
    <w:p w:rsidR="002E76BA" w:rsidRDefault="002E76BA" w:rsidP="00F11242">
      <w:pPr>
        <w:pStyle w:val="Paragraphedeliste"/>
        <w:numPr>
          <w:ilvl w:val="1"/>
          <w:numId w:val="1"/>
        </w:numPr>
        <w:jc w:val="both"/>
      </w:pPr>
      <w:r>
        <w:t>Dossier de sourçage à télécharger par les entreprises (mission / besoin, déroulement du sourçage)</w:t>
      </w:r>
    </w:p>
    <w:p w:rsidR="002E76BA" w:rsidRDefault="002E76BA" w:rsidP="00F11242">
      <w:pPr>
        <w:pStyle w:val="Paragraphedeliste"/>
        <w:numPr>
          <w:ilvl w:val="1"/>
          <w:numId w:val="1"/>
        </w:numPr>
        <w:jc w:val="both"/>
      </w:pPr>
      <w:r>
        <w:t>Avis de sourçage</w:t>
      </w:r>
    </w:p>
    <w:p w:rsidR="002E76BA" w:rsidRDefault="002E76BA" w:rsidP="00F11242">
      <w:pPr>
        <w:pStyle w:val="Paragraphedeliste"/>
        <w:numPr>
          <w:ilvl w:val="1"/>
          <w:numId w:val="1"/>
        </w:numPr>
        <w:jc w:val="both"/>
      </w:pPr>
      <w:r>
        <w:t>Echanges approfondis, pendant les entretiens et par courriel sur tous les points à affiner (segments techniques, logistique industrielle, gestion économique)</w:t>
      </w:r>
      <w:r w:rsidR="00117B47">
        <w:t>.</w:t>
      </w:r>
    </w:p>
    <w:p w:rsidR="00AA5784" w:rsidRDefault="00D37661" w:rsidP="00D37661">
      <w:pPr>
        <w:ind w:left="567"/>
        <w:jc w:val="both"/>
      </w:pPr>
      <w:r>
        <w:t>Le sourçage permet de déterminer finement l’allotissement optimal, les sources d’économies logistiques et la gestion efficace du contrat</w:t>
      </w:r>
      <w:r w:rsidR="00313E46">
        <w:t>, comme indiqué ci-après</w:t>
      </w:r>
      <w:r>
        <w:t>.</w:t>
      </w:r>
    </w:p>
    <w:p w:rsidR="00D37661" w:rsidRDefault="00D37661" w:rsidP="00551A58">
      <w:pPr>
        <w:jc w:val="both"/>
      </w:pPr>
    </w:p>
    <w:p w:rsidR="00551A58" w:rsidRPr="00F05CBB" w:rsidRDefault="00F05CBB" w:rsidP="00F05CBB">
      <w:pPr>
        <w:spacing w:after="0"/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2.2. </w:t>
      </w:r>
      <w:r w:rsidR="00117B47" w:rsidRPr="00F05CBB">
        <w:rPr>
          <w:b/>
          <w:i/>
          <w:color w:val="0070C0"/>
          <w:sz w:val="24"/>
          <w:szCs w:val="24"/>
        </w:rPr>
        <w:t>L</w:t>
      </w:r>
      <w:r w:rsidR="00551A58" w:rsidRPr="00F05CBB">
        <w:rPr>
          <w:b/>
          <w:i/>
          <w:color w:val="0070C0"/>
          <w:sz w:val="24"/>
          <w:szCs w:val="24"/>
        </w:rPr>
        <w:t>’optimisation du contrat</w:t>
      </w:r>
      <w:r w:rsidR="00117B47" w:rsidRPr="00F05CBB">
        <w:rPr>
          <w:b/>
          <w:i/>
          <w:color w:val="0070C0"/>
          <w:sz w:val="24"/>
          <w:szCs w:val="24"/>
        </w:rPr>
        <w:t xml:space="preserve"> profite aux deux parties</w:t>
      </w:r>
    </w:p>
    <w:p w:rsidR="00117B47" w:rsidRPr="002D2CAB" w:rsidRDefault="00117B47" w:rsidP="00117B47">
      <w:pPr>
        <w:pStyle w:val="Paragraphedeliste"/>
        <w:ind w:left="567"/>
        <w:jc w:val="both"/>
        <w:rPr>
          <w:b/>
        </w:rPr>
      </w:pPr>
    </w:p>
    <w:p w:rsidR="006B34A2" w:rsidRDefault="006B34A2" w:rsidP="00F11242">
      <w:pPr>
        <w:pStyle w:val="Paragraphedeliste"/>
        <w:numPr>
          <w:ilvl w:val="0"/>
          <w:numId w:val="1"/>
        </w:numPr>
        <w:jc w:val="both"/>
      </w:pPr>
      <w:r w:rsidRPr="00117B47">
        <w:rPr>
          <w:i/>
          <w:color w:val="0070C0"/>
        </w:rPr>
        <w:t xml:space="preserve">Recherche </w:t>
      </w:r>
      <w:r w:rsidR="00273B63" w:rsidRPr="00117B47">
        <w:rPr>
          <w:i/>
          <w:color w:val="0070C0"/>
        </w:rPr>
        <w:t>d’</w:t>
      </w:r>
      <w:r w:rsidRPr="00117B47">
        <w:rPr>
          <w:i/>
          <w:color w:val="0070C0"/>
        </w:rPr>
        <w:t>économie</w:t>
      </w:r>
      <w:r w:rsidR="00273B63" w:rsidRPr="00117B47">
        <w:rPr>
          <w:i/>
          <w:color w:val="0070C0"/>
        </w:rPr>
        <w:t>s</w:t>
      </w:r>
      <w:r w:rsidRPr="00117B47">
        <w:rPr>
          <w:i/>
          <w:color w:val="0070C0"/>
        </w:rPr>
        <w:t xml:space="preserve"> logistique</w:t>
      </w:r>
      <w:r w:rsidR="00273B63" w:rsidRPr="00117B47">
        <w:rPr>
          <w:i/>
          <w:color w:val="0070C0"/>
        </w:rPr>
        <w:t>s</w:t>
      </w:r>
      <w:r w:rsidRPr="00117B47">
        <w:rPr>
          <w:i/>
          <w:color w:val="0070C0"/>
        </w:rPr>
        <w:t xml:space="preserve"> </w:t>
      </w:r>
      <w:r w:rsidR="00273B63" w:rsidRPr="00117B47">
        <w:rPr>
          <w:i/>
          <w:color w:val="0070C0"/>
        </w:rPr>
        <w:t>et</w:t>
      </w:r>
      <w:r w:rsidRPr="00117B47">
        <w:rPr>
          <w:i/>
          <w:color w:val="0070C0"/>
        </w:rPr>
        <w:t xml:space="preserve"> </w:t>
      </w:r>
      <w:r w:rsidR="00273B63" w:rsidRPr="00117B47">
        <w:rPr>
          <w:i/>
          <w:color w:val="0070C0"/>
        </w:rPr>
        <w:t xml:space="preserve">de </w:t>
      </w:r>
      <w:r w:rsidRPr="00117B47">
        <w:rPr>
          <w:i/>
          <w:color w:val="0070C0"/>
        </w:rPr>
        <w:t>gains de coût partagés</w:t>
      </w:r>
      <w:r w:rsidRPr="00117B47">
        <w:rPr>
          <w:color w:val="0070C0"/>
        </w:rPr>
        <w:t xml:space="preserve"> </w:t>
      </w:r>
      <w:r>
        <w:t>(plutôt que des baisses de prix reposant sur un rapport de force), par o</w:t>
      </w:r>
      <w:r w:rsidR="002E76BA">
        <w:t xml:space="preserve">ptimisation de la logistique industrielle (mise en route de </w:t>
      </w:r>
      <w:r w:rsidR="004D1F53">
        <w:t xml:space="preserve">la </w:t>
      </w:r>
      <w:r w:rsidR="002E76BA">
        <w:t>chaîne</w:t>
      </w:r>
      <w:r w:rsidR="00117B47">
        <w:t xml:space="preserve"> pour la première commande</w:t>
      </w:r>
      <w:r w:rsidR="002E76BA">
        <w:t>, phasage et séquencement des commandes, bande passante</w:t>
      </w:r>
      <w:r w:rsidR="004D1F53">
        <w:t>, seuils d’alerte)</w:t>
      </w:r>
      <w:r w:rsidR="00F11242">
        <w:t xml:space="preserve"> </w:t>
      </w:r>
    </w:p>
    <w:p w:rsidR="00117B47" w:rsidRDefault="00117B47" w:rsidP="00117B47">
      <w:pPr>
        <w:pStyle w:val="Paragraphedeliste"/>
        <w:jc w:val="both"/>
      </w:pPr>
    </w:p>
    <w:p w:rsidR="006B34A2" w:rsidRDefault="004D1F53" w:rsidP="00F11242">
      <w:pPr>
        <w:pStyle w:val="Paragraphedeliste"/>
        <w:numPr>
          <w:ilvl w:val="0"/>
          <w:numId w:val="1"/>
        </w:numPr>
        <w:jc w:val="both"/>
      </w:pPr>
      <w:r w:rsidRPr="00117B47">
        <w:rPr>
          <w:i/>
          <w:color w:val="0070C0"/>
        </w:rPr>
        <w:t>Optimisation de la gestion du contrat</w:t>
      </w:r>
      <w:r w:rsidR="006B34A2" w:rsidRPr="00117B47">
        <w:rPr>
          <w:color w:val="0070C0"/>
        </w:rPr>
        <w:t> </w:t>
      </w:r>
      <w:r w:rsidR="006B34A2">
        <w:t xml:space="preserve">: </w:t>
      </w:r>
    </w:p>
    <w:p w:rsidR="006B34A2" w:rsidRDefault="006B34A2" w:rsidP="006B34A2">
      <w:pPr>
        <w:pStyle w:val="Paragraphedeliste"/>
        <w:numPr>
          <w:ilvl w:val="1"/>
          <w:numId w:val="1"/>
        </w:numPr>
        <w:jc w:val="both"/>
      </w:pPr>
      <w:r>
        <w:t xml:space="preserve">Détermination d’un prix de </w:t>
      </w:r>
      <w:r w:rsidR="002B09F2">
        <w:t>base (</w:t>
      </w:r>
      <w:r>
        <w:t>sécurisant</w:t>
      </w:r>
      <w:r w:rsidR="002B09F2">
        <w:t xml:space="preserve"> pour les entreprises)</w:t>
      </w:r>
      <w:r>
        <w:t xml:space="preserve"> et de moins-values pour les occurrences effectives d’économies logistiques</w:t>
      </w:r>
      <w:r w:rsidR="002B09F2">
        <w:t xml:space="preserve"> (client vertueux)</w:t>
      </w:r>
    </w:p>
    <w:p w:rsidR="006B34A2" w:rsidRDefault="006B34A2" w:rsidP="006B34A2">
      <w:pPr>
        <w:pStyle w:val="Paragraphedeliste"/>
        <w:numPr>
          <w:ilvl w:val="1"/>
          <w:numId w:val="1"/>
        </w:numPr>
        <w:jc w:val="both"/>
      </w:pPr>
      <w:r>
        <w:t>P</w:t>
      </w:r>
      <w:r w:rsidR="004D1F53">
        <w:t>hasage de paiements,</w:t>
      </w:r>
      <w:r w:rsidR="00313E46">
        <w:t xml:space="preserve"> pour éviter trop d’avances de trésorerie au titulaire</w:t>
      </w:r>
      <w:r w:rsidR="004D1F53">
        <w:t xml:space="preserve"> </w:t>
      </w:r>
    </w:p>
    <w:p w:rsidR="006B34A2" w:rsidRDefault="006B34A2" w:rsidP="006B34A2">
      <w:pPr>
        <w:pStyle w:val="Paragraphedeliste"/>
        <w:numPr>
          <w:ilvl w:val="1"/>
          <w:numId w:val="1"/>
        </w:numPr>
        <w:jc w:val="both"/>
      </w:pPr>
      <w:r>
        <w:t>E</w:t>
      </w:r>
      <w:r w:rsidR="004D1F53">
        <w:t>léments pertinents de la gestion du prix</w:t>
      </w:r>
      <w:r>
        <w:t xml:space="preserve"> (formules de révision ou d’ajustement)</w:t>
      </w:r>
    </w:p>
    <w:p w:rsidR="004D1F53" w:rsidRDefault="006B34A2" w:rsidP="006B34A2">
      <w:pPr>
        <w:pStyle w:val="Paragraphedeliste"/>
        <w:numPr>
          <w:ilvl w:val="1"/>
          <w:numId w:val="1"/>
        </w:numPr>
        <w:jc w:val="both"/>
      </w:pPr>
      <w:r>
        <w:t>P</w:t>
      </w:r>
      <w:r w:rsidR="00F11242">
        <w:t>rise en compte des investissements industriels pour la durée du contrat et les séries industrielles homogènes</w:t>
      </w:r>
      <w:r>
        <w:t xml:space="preserve"> –impact sur les coûts induits de formation et maintenance</w:t>
      </w:r>
    </w:p>
    <w:p w:rsidR="004545CE" w:rsidRDefault="004545CE" w:rsidP="00551A58"/>
    <w:p w:rsidR="00551A58" w:rsidRPr="00F05CBB" w:rsidRDefault="00F05CBB" w:rsidP="00F05CBB">
      <w:pPr>
        <w:jc w:val="right"/>
        <w:rPr>
          <w:b/>
          <w:i/>
          <w:color w:val="0070C0"/>
          <w:sz w:val="24"/>
          <w:szCs w:val="24"/>
        </w:rPr>
      </w:pPr>
      <w:r>
        <w:rPr>
          <w:b/>
          <w:i/>
          <w:color w:val="0070C0"/>
          <w:sz w:val="24"/>
          <w:szCs w:val="24"/>
        </w:rPr>
        <w:t xml:space="preserve">2.3. </w:t>
      </w:r>
      <w:r w:rsidR="00A72CB4" w:rsidRPr="00F05CBB">
        <w:rPr>
          <w:b/>
          <w:i/>
          <w:color w:val="0070C0"/>
          <w:sz w:val="24"/>
          <w:szCs w:val="24"/>
        </w:rPr>
        <w:t xml:space="preserve">Le mode </w:t>
      </w:r>
      <w:r w:rsidR="00551A58" w:rsidRPr="00F05CBB">
        <w:rPr>
          <w:b/>
          <w:i/>
          <w:color w:val="0070C0"/>
          <w:sz w:val="24"/>
          <w:szCs w:val="24"/>
        </w:rPr>
        <w:t xml:space="preserve"> d’attribution </w:t>
      </w:r>
      <w:r w:rsidR="00A72CB4" w:rsidRPr="00F05CBB">
        <w:rPr>
          <w:b/>
          <w:i/>
          <w:color w:val="0070C0"/>
          <w:sz w:val="24"/>
          <w:szCs w:val="24"/>
        </w:rPr>
        <w:t>est déterminant</w:t>
      </w:r>
    </w:p>
    <w:p w:rsidR="002C005B" w:rsidRPr="002D2CAB" w:rsidRDefault="002C005B" w:rsidP="002C005B">
      <w:pPr>
        <w:pStyle w:val="Paragraphedeliste"/>
        <w:ind w:left="567"/>
        <w:jc w:val="both"/>
        <w:rPr>
          <w:b/>
        </w:rPr>
      </w:pPr>
    </w:p>
    <w:p w:rsidR="00551A58" w:rsidRPr="00F05CBB" w:rsidRDefault="00700AA7" w:rsidP="00F05CBB">
      <w:pPr>
        <w:pStyle w:val="Paragraphedeliste"/>
        <w:numPr>
          <w:ilvl w:val="0"/>
          <w:numId w:val="1"/>
        </w:numPr>
        <w:pBdr>
          <w:top w:val="single" w:sz="4" w:space="4" w:color="0070C0"/>
          <w:left w:val="single" w:sz="4" w:space="4" w:color="0070C0"/>
          <w:bottom w:val="single" w:sz="4" w:space="4" w:color="0070C0"/>
          <w:right w:val="single" w:sz="4" w:space="4" w:color="0070C0"/>
        </w:pBdr>
        <w:jc w:val="both"/>
        <w:rPr>
          <w:b/>
          <w:i/>
          <w:color w:val="2E74B5" w:themeColor="accent1" w:themeShade="BF"/>
          <w:sz w:val="24"/>
          <w:szCs w:val="24"/>
        </w:rPr>
      </w:pPr>
      <w:r w:rsidRPr="00F05CBB">
        <w:rPr>
          <w:b/>
          <w:i/>
          <w:color w:val="2E74B5" w:themeColor="accent1" w:themeShade="BF"/>
          <w:sz w:val="24"/>
          <w:szCs w:val="24"/>
        </w:rPr>
        <w:t>p</w:t>
      </w:r>
      <w:r w:rsidR="00AC01BD" w:rsidRPr="00F05CBB">
        <w:rPr>
          <w:b/>
          <w:i/>
          <w:color w:val="2E74B5" w:themeColor="accent1" w:themeShade="BF"/>
          <w:sz w:val="24"/>
          <w:szCs w:val="24"/>
        </w:rPr>
        <w:t>ar</w:t>
      </w:r>
      <w:r w:rsidRPr="00F05CBB">
        <w:rPr>
          <w:b/>
          <w:i/>
          <w:color w:val="2E74B5" w:themeColor="accent1" w:themeShade="BF"/>
          <w:sz w:val="24"/>
          <w:szCs w:val="24"/>
        </w:rPr>
        <w:t xml:space="preserve"> </w:t>
      </w:r>
      <w:r w:rsidR="00AC01BD" w:rsidRPr="00F05CBB">
        <w:rPr>
          <w:b/>
          <w:i/>
          <w:color w:val="2E74B5" w:themeColor="accent1" w:themeShade="BF"/>
          <w:sz w:val="24"/>
          <w:szCs w:val="24"/>
        </w:rPr>
        <w:t xml:space="preserve"> un </w:t>
      </w:r>
      <w:r w:rsidR="00A72CB4" w:rsidRPr="00F05CBB">
        <w:rPr>
          <w:b/>
          <w:i/>
          <w:color w:val="2E74B5" w:themeColor="accent1" w:themeShade="BF"/>
          <w:sz w:val="24"/>
          <w:szCs w:val="24"/>
        </w:rPr>
        <w:t xml:space="preserve">allotissement respectueux </w:t>
      </w:r>
      <w:r w:rsidR="00AC01BD" w:rsidRPr="00F05CBB">
        <w:rPr>
          <w:b/>
          <w:i/>
          <w:color w:val="2E74B5" w:themeColor="accent1" w:themeShade="BF"/>
          <w:sz w:val="24"/>
          <w:szCs w:val="24"/>
        </w:rPr>
        <w:t>des segments techniques des TPE-PME spécialisées</w:t>
      </w:r>
    </w:p>
    <w:p w:rsidR="00AC01BD" w:rsidRPr="00F05CBB" w:rsidRDefault="00700AA7" w:rsidP="00F05CBB">
      <w:pPr>
        <w:pStyle w:val="Paragraphedeliste"/>
        <w:numPr>
          <w:ilvl w:val="0"/>
          <w:numId w:val="1"/>
        </w:numPr>
        <w:pBdr>
          <w:top w:val="single" w:sz="4" w:space="4" w:color="0070C0"/>
          <w:left w:val="single" w:sz="4" w:space="4" w:color="0070C0"/>
          <w:bottom w:val="single" w:sz="4" w:space="4" w:color="0070C0"/>
          <w:right w:val="single" w:sz="4" w:space="4" w:color="0070C0"/>
        </w:pBdr>
        <w:jc w:val="both"/>
        <w:rPr>
          <w:b/>
          <w:sz w:val="24"/>
          <w:szCs w:val="24"/>
        </w:rPr>
      </w:pPr>
      <w:r w:rsidRPr="00F05CBB">
        <w:rPr>
          <w:b/>
          <w:i/>
          <w:color w:val="2E74B5" w:themeColor="accent1" w:themeShade="BF"/>
          <w:sz w:val="24"/>
          <w:szCs w:val="24"/>
        </w:rPr>
        <w:t>pa</w:t>
      </w:r>
      <w:r w:rsidR="00AC01BD" w:rsidRPr="00F05CBB">
        <w:rPr>
          <w:b/>
          <w:i/>
          <w:color w:val="2E74B5" w:themeColor="accent1" w:themeShade="BF"/>
          <w:sz w:val="24"/>
          <w:szCs w:val="24"/>
        </w:rPr>
        <w:t xml:space="preserve">r un allotissement </w:t>
      </w:r>
      <w:r w:rsidRPr="00F05CBB">
        <w:rPr>
          <w:b/>
          <w:i/>
          <w:color w:val="2E74B5" w:themeColor="accent1" w:themeShade="BF"/>
          <w:sz w:val="24"/>
          <w:szCs w:val="24"/>
        </w:rPr>
        <w:t xml:space="preserve">géographique </w:t>
      </w:r>
      <w:r w:rsidR="00AC01BD" w:rsidRPr="00F05CBB">
        <w:rPr>
          <w:b/>
          <w:i/>
          <w:color w:val="2E74B5" w:themeColor="accent1" w:themeShade="BF"/>
          <w:sz w:val="24"/>
          <w:szCs w:val="24"/>
        </w:rPr>
        <w:t xml:space="preserve">respectueux des contraintes </w:t>
      </w:r>
      <w:r w:rsidRPr="00F05CBB">
        <w:rPr>
          <w:b/>
          <w:i/>
          <w:color w:val="2E74B5" w:themeColor="accent1" w:themeShade="BF"/>
          <w:sz w:val="24"/>
          <w:szCs w:val="24"/>
        </w:rPr>
        <w:t>de la logistique</w:t>
      </w:r>
      <w:r w:rsidR="00AC01BD" w:rsidRPr="00F05CBB">
        <w:rPr>
          <w:b/>
          <w:i/>
          <w:color w:val="2E74B5" w:themeColor="accent1" w:themeShade="BF"/>
          <w:sz w:val="24"/>
          <w:szCs w:val="24"/>
        </w:rPr>
        <w:t xml:space="preserve"> de proximité</w:t>
      </w:r>
    </w:p>
    <w:p w:rsidR="00551A58" w:rsidRPr="00F05CBB" w:rsidRDefault="00700AA7" w:rsidP="00F05CBB">
      <w:pPr>
        <w:pStyle w:val="Paragraphedeliste"/>
        <w:numPr>
          <w:ilvl w:val="0"/>
          <w:numId w:val="1"/>
        </w:numPr>
        <w:pBdr>
          <w:top w:val="single" w:sz="4" w:space="4" w:color="0070C0"/>
          <w:left w:val="single" w:sz="4" w:space="4" w:color="0070C0"/>
          <w:bottom w:val="single" w:sz="4" w:space="4" w:color="0070C0"/>
          <w:right w:val="single" w:sz="4" w:space="4" w:color="0070C0"/>
        </w:pBdr>
        <w:jc w:val="both"/>
        <w:rPr>
          <w:b/>
          <w:i/>
          <w:color w:val="2E74B5" w:themeColor="accent1" w:themeShade="BF"/>
          <w:sz w:val="24"/>
          <w:szCs w:val="24"/>
        </w:rPr>
      </w:pPr>
      <w:r w:rsidRPr="00F05CBB">
        <w:rPr>
          <w:b/>
          <w:i/>
          <w:color w:val="0070C0"/>
          <w:sz w:val="24"/>
          <w:szCs w:val="24"/>
        </w:rPr>
        <w:t>par</w:t>
      </w:r>
      <w:r w:rsidR="00AC01BD" w:rsidRPr="00F05CBB">
        <w:rPr>
          <w:b/>
          <w:i/>
          <w:color w:val="0070C0"/>
          <w:sz w:val="24"/>
          <w:szCs w:val="24"/>
        </w:rPr>
        <w:t xml:space="preserve"> </w:t>
      </w:r>
      <w:r w:rsidRPr="00F05CBB">
        <w:rPr>
          <w:b/>
          <w:i/>
          <w:color w:val="0070C0"/>
          <w:sz w:val="24"/>
          <w:szCs w:val="24"/>
        </w:rPr>
        <w:t>du</w:t>
      </w:r>
      <w:r w:rsidR="00551A58" w:rsidRPr="00F05CBB">
        <w:rPr>
          <w:b/>
          <w:i/>
          <w:color w:val="0070C0"/>
          <w:sz w:val="24"/>
          <w:szCs w:val="24"/>
        </w:rPr>
        <w:t xml:space="preserve"> positionnement</w:t>
      </w:r>
      <w:r w:rsidR="00551A58" w:rsidRPr="00F05CBB">
        <w:rPr>
          <w:b/>
          <w:color w:val="0070C0"/>
          <w:sz w:val="24"/>
          <w:szCs w:val="24"/>
        </w:rPr>
        <w:t xml:space="preserve"> </w:t>
      </w:r>
      <w:r w:rsidR="00551A58" w:rsidRPr="00F05CBB">
        <w:t xml:space="preserve">(forme d’allotissement souple où une PME </w:t>
      </w:r>
      <w:r w:rsidRPr="00F05CBB">
        <w:t>ou TPE</w:t>
      </w:r>
      <w:r w:rsidR="00551A58" w:rsidRPr="00F05CBB">
        <w:t xml:space="preserve"> s’engage à faire des offres sur une partie précise du besoin et a la possibilité, sans obligation, de faire des offres pour les autres partie de ce contrat)</w:t>
      </w:r>
      <w:r w:rsidR="003202A0" w:rsidRPr="00F05CBB">
        <w:rPr>
          <w:b/>
          <w:sz w:val="24"/>
          <w:szCs w:val="24"/>
        </w:rPr>
        <w:t xml:space="preserve"> </w:t>
      </w:r>
      <w:r w:rsidRPr="00F05CBB">
        <w:rPr>
          <w:b/>
          <w:i/>
          <w:color w:val="2E74B5" w:themeColor="accent1" w:themeShade="BF"/>
          <w:sz w:val="24"/>
          <w:szCs w:val="24"/>
        </w:rPr>
        <w:t xml:space="preserve">qui </w:t>
      </w:r>
      <w:r w:rsidR="00BE751E" w:rsidRPr="00F05CBB">
        <w:rPr>
          <w:b/>
          <w:i/>
          <w:color w:val="2E74B5" w:themeColor="accent1" w:themeShade="BF"/>
          <w:sz w:val="24"/>
          <w:szCs w:val="24"/>
        </w:rPr>
        <w:t>assure la coexistence d’entreprises de taille et d’implantations différentes</w:t>
      </w:r>
      <w:r w:rsidR="00551A58" w:rsidRPr="00F05CBB">
        <w:rPr>
          <w:b/>
          <w:i/>
          <w:color w:val="2E74B5" w:themeColor="accent1" w:themeShade="BF"/>
          <w:sz w:val="24"/>
          <w:szCs w:val="24"/>
        </w:rPr>
        <w:t>.</w:t>
      </w:r>
    </w:p>
    <w:p w:rsidR="00551A58" w:rsidRPr="00F05CBB" w:rsidRDefault="00700AA7" w:rsidP="00F05CBB">
      <w:pPr>
        <w:pStyle w:val="Paragraphedeliste"/>
        <w:numPr>
          <w:ilvl w:val="0"/>
          <w:numId w:val="1"/>
        </w:numPr>
        <w:pBdr>
          <w:top w:val="single" w:sz="4" w:space="4" w:color="0070C0"/>
          <w:left w:val="single" w:sz="4" w:space="4" w:color="0070C0"/>
          <w:bottom w:val="single" w:sz="4" w:space="4" w:color="0070C0"/>
          <w:right w:val="single" w:sz="4" w:space="4" w:color="0070C0"/>
        </w:pBdr>
        <w:jc w:val="both"/>
        <w:rPr>
          <w:b/>
          <w:sz w:val="24"/>
          <w:szCs w:val="24"/>
        </w:rPr>
      </w:pPr>
      <w:r w:rsidRPr="00F05CBB">
        <w:rPr>
          <w:b/>
          <w:i/>
          <w:color w:val="0070C0"/>
          <w:sz w:val="24"/>
          <w:szCs w:val="24"/>
        </w:rPr>
        <w:t xml:space="preserve">par </w:t>
      </w:r>
      <w:r w:rsidR="00BE751E" w:rsidRPr="00F05CBB">
        <w:rPr>
          <w:b/>
          <w:i/>
          <w:color w:val="0070C0"/>
          <w:sz w:val="24"/>
          <w:szCs w:val="24"/>
        </w:rPr>
        <w:t>l</w:t>
      </w:r>
      <w:r w:rsidR="00551A58" w:rsidRPr="00F05CBB">
        <w:rPr>
          <w:b/>
          <w:i/>
          <w:color w:val="0070C0"/>
          <w:sz w:val="24"/>
          <w:szCs w:val="24"/>
        </w:rPr>
        <w:t>a multi-attribution</w:t>
      </w:r>
      <w:r w:rsidR="00551A58" w:rsidRPr="00F05CBB">
        <w:rPr>
          <w:i/>
        </w:rPr>
        <w:t xml:space="preserve">, </w:t>
      </w:r>
      <w:r w:rsidR="00551A58" w:rsidRPr="00F05CBB">
        <w:t>lorsque le besoin du groupement représente une masse supérieure à la bande passante industrielle</w:t>
      </w:r>
      <w:r w:rsidR="00BE751E" w:rsidRPr="00F05CBB">
        <w:t>,</w:t>
      </w:r>
      <w:r w:rsidR="00BE751E" w:rsidRPr="00F05CBB">
        <w:rPr>
          <w:b/>
          <w:sz w:val="24"/>
          <w:szCs w:val="24"/>
        </w:rPr>
        <w:t xml:space="preserve"> </w:t>
      </w:r>
      <w:r w:rsidRPr="00F05CBB">
        <w:rPr>
          <w:b/>
          <w:i/>
          <w:color w:val="2E74B5" w:themeColor="accent1" w:themeShade="BF"/>
          <w:sz w:val="24"/>
          <w:szCs w:val="24"/>
        </w:rPr>
        <w:t xml:space="preserve">qui </w:t>
      </w:r>
      <w:r w:rsidR="00BE751E" w:rsidRPr="00F05CBB">
        <w:rPr>
          <w:b/>
          <w:i/>
          <w:color w:val="2E74B5" w:themeColor="accent1" w:themeShade="BF"/>
          <w:sz w:val="24"/>
          <w:szCs w:val="24"/>
        </w:rPr>
        <w:t xml:space="preserve">maintient diversité et </w:t>
      </w:r>
      <w:r w:rsidR="00551A58" w:rsidRPr="00F05CBB">
        <w:rPr>
          <w:b/>
          <w:i/>
          <w:color w:val="2E74B5" w:themeColor="accent1" w:themeShade="BF"/>
          <w:sz w:val="24"/>
          <w:szCs w:val="24"/>
        </w:rPr>
        <w:t>concurrence durable</w:t>
      </w:r>
      <w:r w:rsidR="00BE751E" w:rsidRPr="00F05CBB">
        <w:rPr>
          <w:b/>
          <w:i/>
          <w:color w:val="2E74B5" w:themeColor="accent1" w:themeShade="BF"/>
          <w:sz w:val="24"/>
          <w:szCs w:val="24"/>
        </w:rPr>
        <w:t>s</w:t>
      </w:r>
      <w:r w:rsidR="00551A58" w:rsidRPr="00F05CBB">
        <w:rPr>
          <w:b/>
          <w:sz w:val="24"/>
          <w:szCs w:val="24"/>
        </w:rPr>
        <w:t>.</w:t>
      </w:r>
    </w:p>
    <w:sectPr w:rsidR="00551A58" w:rsidRPr="00F05CBB" w:rsidSect="00F05CBB">
      <w:pgSz w:w="11906" w:h="16838"/>
      <w:pgMar w:top="1417" w:right="1133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DD1"/>
    <w:multiLevelType w:val="hybridMultilevel"/>
    <w:tmpl w:val="9D122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22517"/>
    <w:multiLevelType w:val="hybridMultilevel"/>
    <w:tmpl w:val="14DC943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811E68"/>
    <w:multiLevelType w:val="hybridMultilevel"/>
    <w:tmpl w:val="F60A9088"/>
    <w:lvl w:ilvl="0" w:tplc="51CA0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A4179A"/>
    <w:multiLevelType w:val="hybridMultilevel"/>
    <w:tmpl w:val="AEBE6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04907"/>
    <w:multiLevelType w:val="hybridMultilevel"/>
    <w:tmpl w:val="A2EA8262"/>
    <w:lvl w:ilvl="0" w:tplc="3D52E8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EB1C2A"/>
    <w:multiLevelType w:val="multilevel"/>
    <w:tmpl w:val="A600D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B93791C"/>
    <w:multiLevelType w:val="hybridMultilevel"/>
    <w:tmpl w:val="DC6A5504"/>
    <w:lvl w:ilvl="0" w:tplc="BCFA49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E82"/>
    <w:rsid w:val="000166F8"/>
    <w:rsid w:val="000747F1"/>
    <w:rsid w:val="000B40CF"/>
    <w:rsid w:val="000D7969"/>
    <w:rsid w:val="00117B47"/>
    <w:rsid w:val="001448EF"/>
    <w:rsid w:val="00171D0B"/>
    <w:rsid w:val="00192B2B"/>
    <w:rsid w:val="001941A4"/>
    <w:rsid w:val="001A0427"/>
    <w:rsid w:val="001D573E"/>
    <w:rsid w:val="001D7234"/>
    <w:rsid w:val="00273B63"/>
    <w:rsid w:val="002B09F2"/>
    <w:rsid w:val="002C005B"/>
    <w:rsid w:val="002D2CAB"/>
    <w:rsid w:val="002E76BA"/>
    <w:rsid w:val="00313E46"/>
    <w:rsid w:val="003202A0"/>
    <w:rsid w:val="003F169F"/>
    <w:rsid w:val="00431E01"/>
    <w:rsid w:val="004545CE"/>
    <w:rsid w:val="00462BFD"/>
    <w:rsid w:val="004654E2"/>
    <w:rsid w:val="00466490"/>
    <w:rsid w:val="0047435E"/>
    <w:rsid w:val="004C1F8F"/>
    <w:rsid w:val="004D1F53"/>
    <w:rsid w:val="004D4B98"/>
    <w:rsid w:val="004E73A8"/>
    <w:rsid w:val="00526675"/>
    <w:rsid w:val="00551A58"/>
    <w:rsid w:val="00560B50"/>
    <w:rsid w:val="005A6FD9"/>
    <w:rsid w:val="005E4FB1"/>
    <w:rsid w:val="00616A31"/>
    <w:rsid w:val="00653D62"/>
    <w:rsid w:val="00697532"/>
    <w:rsid w:val="006B34A2"/>
    <w:rsid w:val="006F76DF"/>
    <w:rsid w:val="00700AA7"/>
    <w:rsid w:val="0071698F"/>
    <w:rsid w:val="00750BB3"/>
    <w:rsid w:val="00784126"/>
    <w:rsid w:val="007A0C03"/>
    <w:rsid w:val="007B0486"/>
    <w:rsid w:val="00883FD8"/>
    <w:rsid w:val="008E50AD"/>
    <w:rsid w:val="009806DD"/>
    <w:rsid w:val="009871A3"/>
    <w:rsid w:val="00996721"/>
    <w:rsid w:val="009E658A"/>
    <w:rsid w:val="00A17CA9"/>
    <w:rsid w:val="00A72CB4"/>
    <w:rsid w:val="00AA5784"/>
    <w:rsid w:val="00AC01BD"/>
    <w:rsid w:val="00AF5D3B"/>
    <w:rsid w:val="00B02C80"/>
    <w:rsid w:val="00B95A68"/>
    <w:rsid w:val="00BC19A6"/>
    <w:rsid w:val="00BE751E"/>
    <w:rsid w:val="00C3460E"/>
    <w:rsid w:val="00CD1E82"/>
    <w:rsid w:val="00D13FE0"/>
    <w:rsid w:val="00D37661"/>
    <w:rsid w:val="00DB3591"/>
    <w:rsid w:val="00DE0CE9"/>
    <w:rsid w:val="00F05CBB"/>
    <w:rsid w:val="00F11242"/>
    <w:rsid w:val="00F33D83"/>
    <w:rsid w:val="00F44A31"/>
    <w:rsid w:val="00F6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E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BF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05C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E8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2BF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05C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</TotalTime>
  <Pages>2</Pages>
  <Words>608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SDIS06</Company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Crahès</dc:creator>
  <cp:lastModifiedBy>Julien JEGADO</cp:lastModifiedBy>
  <cp:revision>16</cp:revision>
  <dcterms:created xsi:type="dcterms:W3CDTF">2017-08-08T16:30:00Z</dcterms:created>
  <dcterms:modified xsi:type="dcterms:W3CDTF">2017-08-11T16:24:00Z</dcterms:modified>
</cp:coreProperties>
</file>