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8A9" w:rsidRPr="009630E0" w:rsidRDefault="009E38A9" w:rsidP="00D61411">
      <w:pPr>
        <w:pStyle w:val="Office-Dlgation"/>
        <w:widowControl w:val="0"/>
        <w:ind w:left="0"/>
        <w:rPr>
          <w:rFonts w:ascii="Book Antiqua" w:hAnsi="Book Antiqua" w:cs="Book Antiqua"/>
          <w:color w:val="FFFFFF"/>
        </w:rPr>
      </w:pPr>
      <w:r>
        <w:rPr>
          <w:noProof/>
        </w:rPr>
        <w:pict>
          <v:shapetype id="_x0000_t202" coordsize="21600,21600" o:spt="202" path="m,l,21600r21600,l21600,xe">
            <v:stroke joinstyle="miter"/>
            <v:path gradientshapeok="t" o:connecttype="rect"/>
          </v:shapetype>
          <v:shape id="Text Box 44" o:spid="_x0000_s1026" type="#_x0000_t202" style="position:absolute;left:0;text-align:left;margin-left:-54pt;margin-top:-45pt;width:28.65pt;height:716.4pt;z-index:251657216;visibility:visible" stroked="f">
            <v:textbox style="layout-flow:vertical;mso-layout-flow-alt:bottom-to-top;mso-fit-shape-to-text:t">
              <w:txbxContent>
                <w:p w:rsidR="009E38A9" w:rsidRPr="00C372CF" w:rsidRDefault="009E38A9" w:rsidP="00476EEC">
                  <w:pPr>
                    <w:pStyle w:val="msoorganizationname"/>
                    <w:widowControl w:val="0"/>
                    <w:jc w:val="right"/>
                    <w:rPr>
                      <w:rFonts w:ascii="Book Antiqua" w:hAnsi="Book Antiqua" w:cs="Book Antiqua"/>
                      <w:color w:val="000000"/>
                      <w:sz w:val="18"/>
                      <w:szCs w:val="18"/>
                    </w:rPr>
                  </w:pPr>
                  <w:r>
                    <w:rPr>
                      <w:rFonts w:ascii="Book Antiqua" w:hAnsi="Book Antiqua" w:cs="Book Antiqua"/>
                      <w:color w:val="000000"/>
                      <w:sz w:val="18"/>
                      <w:szCs w:val="18"/>
                    </w:rPr>
                    <w:t>Juillet 2014</w:t>
                  </w:r>
                  <w:r>
                    <w:rPr>
                      <w:rFonts w:ascii="Book Antiqua" w:hAnsi="Book Antiqua" w:cs="Book Antiqua"/>
                      <w:color w:val="000000"/>
                      <w:sz w:val="18"/>
                      <w:szCs w:val="18"/>
                    </w:rPr>
                    <w:tab/>
                  </w:r>
                  <w:r>
                    <w:rPr>
                      <w:rFonts w:ascii="Book Antiqua" w:hAnsi="Book Antiqua" w:cs="Book Antiqua"/>
                      <w:color w:val="000000"/>
                      <w:sz w:val="18"/>
                      <w:szCs w:val="18"/>
                    </w:rPr>
                    <w:tab/>
                  </w:r>
                  <w:r>
                    <w:rPr>
                      <w:rFonts w:ascii="Book Antiqua" w:hAnsi="Book Antiqua" w:cs="Book Antiqua"/>
                      <w:color w:val="000000"/>
                      <w:sz w:val="18"/>
                      <w:szCs w:val="18"/>
                    </w:rPr>
                    <w:tab/>
                  </w:r>
                  <w:r>
                    <w:rPr>
                      <w:rFonts w:ascii="Book Antiqua" w:hAnsi="Book Antiqua" w:cs="Book Antiqua"/>
                      <w:color w:val="000000"/>
                      <w:sz w:val="18"/>
                      <w:szCs w:val="18"/>
                    </w:rPr>
                    <w:tab/>
                  </w:r>
                  <w:r>
                    <w:rPr>
                      <w:rFonts w:ascii="Book Antiqua" w:hAnsi="Book Antiqua" w:cs="Book Antiqua"/>
                      <w:color w:val="000000"/>
                      <w:sz w:val="18"/>
                      <w:szCs w:val="18"/>
                    </w:rPr>
                    <w:tab/>
                  </w:r>
                  <w:r>
                    <w:rPr>
                      <w:rFonts w:ascii="Book Antiqua" w:hAnsi="Book Antiqua" w:cs="Book Antiqua"/>
                      <w:color w:val="000000"/>
                      <w:sz w:val="18"/>
                      <w:szCs w:val="18"/>
                    </w:rPr>
                    <w:tab/>
                  </w:r>
                  <w:r>
                    <w:rPr>
                      <w:rFonts w:ascii="Book Antiqua" w:hAnsi="Book Antiqua" w:cs="Book Antiqua"/>
                      <w:color w:val="000000"/>
                      <w:sz w:val="18"/>
                      <w:szCs w:val="18"/>
                    </w:rPr>
                    <w:tab/>
                  </w:r>
                  <w:r>
                    <w:rPr>
                      <w:rFonts w:ascii="Book Antiqua" w:hAnsi="Book Antiqua" w:cs="Book Antiqua"/>
                      <w:color w:val="000000"/>
                      <w:sz w:val="18"/>
                      <w:szCs w:val="18"/>
                    </w:rPr>
                    <w:tab/>
                  </w:r>
                  <w:r>
                    <w:rPr>
                      <w:rFonts w:ascii="Book Antiqua" w:hAnsi="Book Antiqua" w:cs="Book Antiqua"/>
                      <w:color w:val="000000"/>
                      <w:sz w:val="18"/>
                      <w:szCs w:val="18"/>
                    </w:rPr>
                    <w:tab/>
                  </w:r>
                  <w:r>
                    <w:rPr>
                      <w:rFonts w:ascii="Book Antiqua" w:hAnsi="Book Antiqua" w:cs="Book Antiqua"/>
                      <w:color w:val="000000"/>
                      <w:sz w:val="18"/>
                      <w:szCs w:val="18"/>
                    </w:rPr>
                    <w:tab/>
                  </w:r>
                  <w:r>
                    <w:rPr>
                      <w:rFonts w:ascii="Book Antiqua" w:hAnsi="Book Antiqua" w:cs="Book Antiqua"/>
                      <w:color w:val="000000"/>
                      <w:sz w:val="18"/>
                      <w:szCs w:val="18"/>
                    </w:rPr>
                    <w:tab/>
                  </w:r>
                  <w:r>
                    <w:rPr>
                      <w:rFonts w:ascii="Book Antiqua" w:hAnsi="Book Antiqua" w:cs="Book Antiqua"/>
                      <w:color w:val="000000"/>
                      <w:sz w:val="18"/>
                      <w:szCs w:val="18"/>
                    </w:rPr>
                    <w:tab/>
                  </w:r>
                  <w:r>
                    <w:rPr>
                      <w:rFonts w:ascii="Book Antiqua" w:hAnsi="Book Antiqua" w:cs="Book Antiqua"/>
                      <w:color w:val="000000"/>
                      <w:sz w:val="18"/>
                      <w:szCs w:val="18"/>
                    </w:rPr>
                    <w:tab/>
                  </w:r>
                  <w:r>
                    <w:rPr>
                      <w:rFonts w:ascii="Book Antiqua" w:hAnsi="Book Antiqua" w:cs="Book Antiqua"/>
                      <w:color w:val="000000"/>
                      <w:sz w:val="18"/>
                      <w:szCs w:val="18"/>
                    </w:rPr>
                    <w:tab/>
                  </w:r>
                  <w:r w:rsidRPr="006F69F4">
                    <w:rPr>
                      <w:rFonts w:ascii="Book Antiqua" w:hAnsi="Book Antiqua" w:cs="Book Antiqua"/>
                      <w:color w:val="000000"/>
                      <w:sz w:val="18"/>
                      <w:szCs w:val="18"/>
                    </w:rPr>
                    <w:t xml:space="preserve">Note de </w:t>
                  </w:r>
                  <w:r>
                    <w:rPr>
                      <w:rFonts w:ascii="Book Antiqua" w:hAnsi="Book Antiqua" w:cs="Book Antiqua"/>
                      <w:color w:val="000000"/>
                      <w:sz w:val="18"/>
                      <w:szCs w:val="18"/>
                    </w:rPr>
                    <w:t>synthèse</w:t>
                  </w:r>
                </w:p>
              </w:txbxContent>
            </v:textbox>
            <w10:wrap type="square"/>
          </v:shape>
        </w:pict>
      </w:r>
      <w:r>
        <w:rPr>
          <w:noProof/>
        </w:rPr>
        <w:pict>
          <v:shape id="Text Box 42" o:spid="_x0000_s1027" type="#_x0000_t202" style="position:absolute;left:0;text-align:left;margin-left:1in;margin-top:-1in;width:369pt;height:27pt;z-index:251656192;visibility:visible" stroked="f">
            <v:textbox>
              <w:txbxContent>
                <w:p w:rsidR="009E38A9" w:rsidRPr="00C162F5" w:rsidRDefault="009E38A9" w:rsidP="00ED24A8">
                  <w:pPr>
                    <w:jc w:val="center"/>
                    <w:rPr>
                      <w:rFonts w:ascii="Book Antiqua" w:hAnsi="Book Antiqua" w:cs="Book Antiqua"/>
                      <w:sz w:val="24"/>
                      <w:szCs w:val="24"/>
                    </w:rPr>
                  </w:pPr>
                  <w:r w:rsidRPr="00C162F5">
                    <w:rPr>
                      <w:rFonts w:ascii="Book Antiqua" w:hAnsi="Book Antiqua" w:cs="Book Antiqua"/>
                      <w:b/>
                      <w:bCs/>
                      <w:i/>
                      <w:iCs/>
                      <w:smallCaps/>
                      <w:spacing w:val="160"/>
                      <w:sz w:val="24"/>
                      <w:szCs w:val="24"/>
                    </w:rPr>
                    <w:t>République Française</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0" o:spid="_x0000_s1028" type="#_x0000_t75" alt="logo senat couleur" style="position:absolute;left:0;text-align:left;margin-left:-9pt;margin-top:-81pt;width:63.15pt;height:63.15pt;z-index:251655168;visibility:visible">
            <v:imagedata r:id="rId7" o:title=""/>
          </v:shape>
        </w:pict>
      </w:r>
      <w:r>
        <w:rPr>
          <w:rFonts w:ascii="Book Antiqua" w:hAnsi="Book Antiqua" w:cs="Book Antiqua"/>
          <w:noProof/>
          <w:color w:val="FFFFFF"/>
        </w:rPr>
        <w:t>Les contrats de partenariat</w:t>
      </w:r>
      <w:r>
        <w:rPr>
          <w:rFonts w:ascii="Book Antiqua" w:hAnsi="Book Antiqua" w:cs="Book Antiqua"/>
          <w:color w:val="FFFFFF"/>
        </w:rPr>
        <w:t> : des bombes à retardement ?</w:t>
      </w:r>
    </w:p>
    <w:p w:rsidR="009E38A9" w:rsidRPr="00072E24" w:rsidRDefault="009E38A9" w:rsidP="00E02796">
      <w:pPr>
        <w:pStyle w:val="CommissionMission"/>
        <w:widowControl w:val="0"/>
        <w:spacing w:before="240"/>
        <w:rPr>
          <w:rFonts w:ascii="Book Antiqua" w:hAnsi="Book Antiqua" w:cs="Book Antiqua"/>
          <w:b/>
          <w:bCs/>
        </w:rPr>
      </w:pPr>
      <w:r w:rsidRPr="00072E24">
        <w:rPr>
          <w:rFonts w:ascii="Book Antiqua" w:hAnsi="Book Antiqua" w:cs="Book Antiqua"/>
          <w:b/>
          <w:bCs/>
        </w:rPr>
        <w:t>COMMISSION DES LOIS</w:t>
      </w:r>
    </w:p>
    <w:p w:rsidR="009E38A9" w:rsidRPr="00A47BC2" w:rsidRDefault="009E38A9" w:rsidP="00E02796">
      <w:pPr>
        <w:pStyle w:val="CommissionMission"/>
        <w:widowControl w:val="0"/>
        <w:spacing w:before="120"/>
        <w:rPr>
          <w:rFonts w:ascii="Book Antiqua" w:hAnsi="Book Antiqua" w:cs="Book Antiqua"/>
          <w:b/>
          <w:bCs/>
          <w:i w:val="0"/>
          <w:iCs w:val="0"/>
          <w:sz w:val="22"/>
          <w:szCs w:val="22"/>
        </w:rPr>
      </w:pPr>
      <w:r w:rsidRPr="00A47BC2">
        <w:rPr>
          <w:rFonts w:ascii="Book Antiqua" w:hAnsi="Book Antiqua" w:cs="Book Antiqua"/>
          <w:b/>
          <w:bCs/>
          <w:i w:val="0"/>
          <w:iCs w:val="0"/>
          <w:sz w:val="22"/>
          <w:szCs w:val="22"/>
        </w:rPr>
        <w:t>Rapport d’information de</w:t>
      </w:r>
      <w:r>
        <w:rPr>
          <w:rFonts w:ascii="Book Antiqua" w:hAnsi="Book Antiqua" w:cs="Book Antiqua"/>
          <w:b/>
          <w:bCs/>
          <w:i w:val="0"/>
          <w:iCs w:val="0"/>
          <w:sz w:val="22"/>
          <w:szCs w:val="22"/>
        </w:rPr>
        <w:br/>
        <w:t>MM. Hugues Portelli et Jean-Pierre Sueur</w:t>
      </w:r>
    </w:p>
    <w:p w:rsidR="009E38A9" w:rsidRDefault="009E38A9" w:rsidP="00A84621">
      <w:pPr>
        <w:widowControl w:val="0"/>
        <w:spacing w:before="120" w:after="60" w:line="240" w:lineRule="atLeast"/>
        <w:ind w:left="-284" w:right="-286"/>
        <w:jc w:val="both"/>
        <w:rPr>
          <w:rFonts w:ascii="Book Antiqua" w:hAnsi="Book Antiqua" w:cs="Book Antiqua"/>
        </w:rPr>
      </w:pPr>
      <w:r w:rsidRPr="00B906DE">
        <w:rPr>
          <w:rFonts w:ascii="Book Antiqua" w:hAnsi="Book Antiqua" w:cs="Book Antiqua"/>
          <w:b/>
          <w:bCs/>
          <w:i/>
          <w:iCs/>
          <w:color w:val="C8092B"/>
        </w:rPr>
        <w:t>■</w:t>
      </w:r>
      <w:r w:rsidRPr="001315FF">
        <w:rPr>
          <w:rFonts w:ascii="Book Antiqua" w:hAnsi="Book Antiqua" w:cs="Book Antiqua"/>
          <w:b/>
          <w:bCs/>
          <w:i/>
          <w:iCs/>
        </w:rPr>
        <w:t> </w:t>
      </w:r>
      <w:r>
        <w:rPr>
          <w:rFonts w:ascii="Book Antiqua" w:hAnsi="Book Antiqua" w:cs="Book Antiqua"/>
        </w:rPr>
        <w:t>Le contrat de partenariat est une forme de partenariat public-privé bien que les deux notions soient souvent confondues</w:t>
      </w:r>
      <w:r w:rsidRPr="000C78D5">
        <w:rPr>
          <w:rFonts w:ascii="Book Antiqua" w:hAnsi="Book Antiqua" w:cs="Book Antiqua"/>
        </w:rPr>
        <w:t>.</w:t>
      </w:r>
      <w:r>
        <w:rPr>
          <w:rFonts w:ascii="Book Antiqua" w:hAnsi="Book Antiqua" w:cs="Book Antiqua"/>
        </w:rPr>
        <w:t xml:space="preserve"> Les partenariats public-privé recouvrent, outre les contrats de partenariat, les autorisations d’occupation temporaire (AOT) couplées à des locations avec option d’achat, les baux emphytéotiques administratifs (BEA), les baux emphytéotiques hospitaliers (BEH) ainsi que les dispositifs sectoriels destinés à répondre aux besoins de la justice, de la police et de la gendarmerie nationale.</w:t>
      </w:r>
    </w:p>
    <w:p w:rsidR="009E38A9" w:rsidRPr="00E43F51" w:rsidRDefault="009E38A9" w:rsidP="00A84621">
      <w:pPr>
        <w:widowControl w:val="0"/>
        <w:spacing w:before="120" w:after="60" w:line="240" w:lineRule="atLeast"/>
        <w:ind w:left="-284" w:right="-286"/>
        <w:jc w:val="both"/>
        <w:rPr>
          <w:rFonts w:ascii="Book Antiqua" w:hAnsi="Book Antiqua" w:cs="Book Antiqua"/>
        </w:rPr>
      </w:pPr>
      <w:r w:rsidRPr="00B906DE">
        <w:rPr>
          <w:rFonts w:ascii="Book Antiqua" w:hAnsi="Book Antiqua" w:cs="Book Antiqua"/>
          <w:b/>
          <w:bCs/>
          <w:i/>
          <w:iCs/>
          <w:color w:val="C8092B"/>
        </w:rPr>
        <w:t>■</w:t>
      </w:r>
      <w:r w:rsidRPr="001315FF">
        <w:rPr>
          <w:rFonts w:ascii="Book Antiqua" w:hAnsi="Book Antiqua" w:cs="Book Antiqua"/>
          <w:b/>
          <w:bCs/>
          <w:i/>
          <w:iCs/>
        </w:rPr>
        <w:t> </w:t>
      </w:r>
      <w:r>
        <w:rPr>
          <w:rFonts w:ascii="Book Antiqua" w:hAnsi="Book Antiqua" w:cs="Book Antiqua"/>
        </w:rPr>
        <w:t xml:space="preserve">Le contrat de partenariat est un </w:t>
      </w:r>
      <w:r w:rsidRPr="00E43F51">
        <w:rPr>
          <w:rFonts w:ascii="Book Antiqua" w:hAnsi="Book Antiqua" w:cs="Book Antiqua"/>
          <w:b/>
          <w:bCs/>
        </w:rPr>
        <w:t>contrat administratif global</w:t>
      </w:r>
      <w:r>
        <w:rPr>
          <w:rFonts w:ascii="Book Antiqua" w:hAnsi="Book Antiqua" w:cs="Book Antiqua"/>
        </w:rPr>
        <w:t>, autorisant une personne publique à confier à un tiers une mission globale incluant à la fois le financement d’un ouvrage, sa construction ou sa transformation, et son entretien, son exploitation, sa maintenance et sa gestion. Le contrat avec un partenaire privé est généralement conclu sur une durée relativement longue. Il représente une dérogation au droit commun de la commande publique en ce qu’il concentre la maîtrise d’ouvrage et la maîtrise d’œuvre entre les mains du partenaire privé et permet un mode de rémunération spécifique du prestataire.</w:t>
      </w:r>
    </w:p>
    <w:p w:rsidR="009E38A9" w:rsidRPr="0053484B" w:rsidRDefault="009E38A9" w:rsidP="00A84621">
      <w:pPr>
        <w:widowControl w:val="0"/>
        <w:spacing w:before="120" w:after="60" w:line="240" w:lineRule="atLeast"/>
        <w:ind w:left="-284" w:right="-286"/>
        <w:jc w:val="both"/>
        <w:rPr>
          <w:rFonts w:ascii="Book Antiqua" w:hAnsi="Book Antiqua" w:cs="Book Antiqua"/>
          <w:highlight w:val="yellow"/>
        </w:rPr>
      </w:pPr>
      <w:r w:rsidRPr="00F55EA2">
        <w:rPr>
          <w:rFonts w:ascii="Book Antiqua" w:hAnsi="Book Antiqua" w:cs="Book Antiqua"/>
          <w:b/>
          <w:bCs/>
          <w:i/>
          <w:iCs/>
          <w:color w:val="C8092B"/>
        </w:rPr>
        <w:t>■</w:t>
      </w:r>
      <w:r>
        <w:rPr>
          <w:rFonts w:ascii="Book Antiqua" w:hAnsi="Book Antiqua" w:cs="Book Antiqua"/>
          <w:b/>
          <w:bCs/>
          <w:i/>
          <w:iCs/>
          <w:color w:val="C8092B"/>
        </w:rPr>
        <w:t xml:space="preserve"> </w:t>
      </w:r>
      <w:r w:rsidRPr="0053484B">
        <w:rPr>
          <w:rFonts w:ascii="Book Antiqua" w:hAnsi="Book Antiqua" w:cs="Book Antiqua"/>
        </w:rPr>
        <w:t>De</w:t>
      </w:r>
      <w:r>
        <w:rPr>
          <w:rFonts w:ascii="Book Antiqua" w:hAnsi="Book Antiqua" w:cs="Book Antiqua"/>
          <w:b/>
          <w:bCs/>
          <w:i/>
          <w:iCs/>
        </w:rPr>
        <w:t xml:space="preserve"> </w:t>
      </w:r>
      <w:r>
        <w:rPr>
          <w:rFonts w:ascii="Book Antiqua" w:hAnsi="Book Antiqua" w:cs="Book Antiqua"/>
        </w:rPr>
        <w:t>subsidiaire et dérogatoire, le contrat de partenariat est devenu, depuis sa création en 2004, un outil contractuel parmi d’autres, concurrençant les marchés publics classiques ou les délégations de service public.</w:t>
      </w:r>
    </w:p>
    <w:p w:rsidR="009E38A9" w:rsidRPr="00F55EA2" w:rsidRDefault="009E38A9" w:rsidP="00A84621">
      <w:pPr>
        <w:widowControl w:val="0"/>
        <w:spacing w:before="60" w:after="60"/>
        <w:ind w:left="-284" w:right="-286"/>
        <w:jc w:val="both"/>
        <w:rPr>
          <w:rFonts w:ascii="Book Antiqua" w:hAnsi="Book Antiqua" w:cs="Book Antiqua"/>
        </w:rPr>
      </w:pPr>
      <w:r w:rsidRPr="00F55EA2">
        <w:rPr>
          <w:rFonts w:ascii="Book Antiqua" w:hAnsi="Book Antiqua" w:cs="Book Antiqua"/>
          <w:b/>
          <w:bCs/>
          <w:i/>
          <w:iCs/>
          <w:color w:val="C8092B"/>
        </w:rPr>
        <w:t>■</w:t>
      </w:r>
      <w:r w:rsidRPr="00F55EA2">
        <w:rPr>
          <w:rFonts w:ascii="Book Antiqua" w:hAnsi="Book Antiqua" w:cs="Book Antiqua"/>
          <w:b/>
          <w:bCs/>
          <w:i/>
          <w:iCs/>
        </w:rPr>
        <w:t> </w:t>
      </w:r>
      <w:r w:rsidRPr="00F55EA2">
        <w:rPr>
          <w:rFonts w:ascii="Book Antiqua" w:hAnsi="Book Antiqua" w:cs="Book Antiqua"/>
        </w:rPr>
        <w:t xml:space="preserve">Au terme de dix-huit mois de travaux, la mission d’information, conduite par les sénateurs Hugues Portelli (UMP – Val d’Oise) et Jean-Pierre Sueur (SOC – Loiret), dresse, au moment du dixième anniversaire de leur création, un bilan des effets de ces contrats de partenariat, afin d’en appréhender les </w:t>
      </w:r>
      <w:r>
        <w:rPr>
          <w:rFonts w:ascii="Book Antiqua" w:hAnsi="Book Antiqua" w:cs="Book Antiqua"/>
        </w:rPr>
        <w:t>avantages et les inconvénients</w:t>
      </w:r>
      <w:r w:rsidRPr="00F55EA2">
        <w:rPr>
          <w:rFonts w:ascii="Book Antiqua" w:hAnsi="Book Antiqua" w:cs="Book Antiqua"/>
        </w:rPr>
        <w:t>.</w:t>
      </w:r>
    </w:p>
    <w:p w:rsidR="009E38A9" w:rsidRPr="00F55EA2" w:rsidRDefault="009E38A9" w:rsidP="00A84621">
      <w:pPr>
        <w:widowControl w:val="0"/>
        <w:spacing w:before="60" w:after="60"/>
        <w:ind w:left="-284" w:right="-286"/>
        <w:jc w:val="both"/>
        <w:rPr>
          <w:rFonts w:ascii="Book Antiqua" w:hAnsi="Book Antiqua" w:cs="Book Antiqua"/>
        </w:rPr>
      </w:pPr>
      <w:r w:rsidRPr="00F55EA2">
        <w:rPr>
          <w:rFonts w:ascii="Book Antiqua" w:hAnsi="Book Antiqua" w:cs="Book Antiqua"/>
        </w:rPr>
        <w:t xml:space="preserve">Pour ne pas revenir sur un travail largement effectué par de nombreux rapports de la Cour des comptes, de l’inspection générale des finances ou du conseil général de l’environnement et du développement durable, </w:t>
      </w:r>
      <w:r>
        <w:rPr>
          <w:rFonts w:ascii="Book Antiqua" w:hAnsi="Book Antiqua" w:cs="Book Antiqua"/>
        </w:rPr>
        <w:t>la mission d’information a souhaité répondre à cette question fondamentale : compte-tenu des risques qu’ils peuvent présenter, les contrats de partenariat sont</w:t>
      </w:r>
      <w:r>
        <w:rPr>
          <w:rFonts w:ascii="Book Antiqua" w:hAnsi="Book Antiqua" w:cs="Book Antiqua"/>
        </w:rPr>
        <w:noBreakHyphen/>
        <w:t>ils, pour les personnes publiques qui en ont conclus, des bombes à retardement ?</w:t>
      </w:r>
    </w:p>
    <w:tbl>
      <w:tblPr>
        <w:tblW w:w="9640" w:type="dxa"/>
        <w:tblInd w:w="-176" w:type="dxa"/>
        <w:tblLook w:val="00A0"/>
      </w:tblPr>
      <w:tblGrid>
        <w:gridCol w:w="9640"/>
      </w:tblGrid>
      <w:tr w:rsidR="009E38A9" w:rsidRPr="00447516">
        <w:tc>
          <w:tcPr>
            <w:tcW w:w="9640" w:type="dxa"/>
            <w:shd w:val="clear" w:color="auto" w:fill="C00000"/>
          </w:tcPr>
          <w:p w:rsidR="009E38A9" w:rsidRPr="00657243" w:rsidRDefault="009E38A9" w:rsidP="00D80B3D">
            <w:pPr>
              <w:widowControl w:val="0"/>
              <w:spacing w:before="80" w:after="80"/>
              <w:jc w:val="center"/>
              <w:rPr>
                <w:rFonts w:ascii="Book Antiqua" w:hAnsi="Book Antiqua" w:cs="Book Antiqua"/>
                <w:b/>
                <w:bCs/>
              </w:rPr>
            </w:pPr>
            <w:r>
              <w:rPr>
                <w:rFonts w:ascii="Book Antiqua" w:hAnsi="Book Antiqua" w:cs="Book Antiqua"/>
                <w:b/>
                <w:bCs/>
              </w:rPr>
              <w:t>Le contrat de partenariat : Un outil en voie de banalisation</w:t>
            </w:r>
          </w:p>
        </w:tc>
      </w:tr>
    </w:tbl>
    <w:p w:rsidR="009E38A9" w:rsidRPr="00447516" w:rsidRDefault="009E38A9" w:rsidP="00D61411">
      <w:pPr>
        <w:pStyle w:val="CommissionMission"/>
        <w:widowControl w:val="0"/>
        <w:spacing w:after="0"/>
        <w:rPr>
          <w:rFonts w:ascii="Book Antiqua" w:hAnsi="Book Antiqua" w:cs="Book Antiqua"/>
          <w:sz w:val="12"/>
          <w:szCs w:val="12"/>
        </w:rPr>
      </w:pPr>
    </w:p>
    <w:p w:rsidR="009E38A9" w:rsidRDefault="009E38A9" w:rsidP="00D61411">
      <w:pPr>
        <w:pStyle w:val="TexteChapitre"/>
        <w:widowControl w:val="0"/>
        <w:rPr>
          <w:rFonts w:ascii="Book Antiqua" w:hAnsi="Book Antiqua" w:cs="Book Antiqua"/>
          <w:b/>
          <w:bCs/>
          <w:i/>
          <w:iCs/>
          <w:color w:val="C8092B"/>
          <w:sz w:val="20"/>
          <w:szCs w:val="20"/>
        </w:rPr>
        <w:sectPr w:rsidR="009E38A9" w:rsidSect="007C12DB">
          <w:headerReference w:type="even" r:id="rId8"/>
          <w:footerReference w:type="even" r:id="rId9"/>
          <w:footerReference w:type="default" r:id="rId10"/>
          <w:headerReference w:type="first" r:id="rId11"/>
          <w:footerReference w:type="first" r:id="rId12"/>
          <w:type w:val="continuous"/>
          <w:pgSz w:w="11906" w:h="16838" w:code="9"/>
          <w:pgMar w:top="1977" w:right="1418" w:bottom="899" w:left="1418" w:header="709" w:footer="532" w:gutter="0"/>
          <w:cols w:space="20"/>
          <w:docGrid w:linePitch="360"/>
        </w:sectPr>
      </w:pPr>
    </w:p>
    <w:p w:rsidR="009E38A9" w:rsidRPr="008D730E" w:rsidRDefault="009E38A9" w:rsidP="008857D8">
      <w:pPr>
        <w:pStyle w:val="TexteChapitre"/>
        <w:keepNext/>
        <w:widowControl w:val="0"/>
        <w:spacing w:before="120" w:after="60"/>
        <w:ind w:left="181" w:hanging="181"/>
        <w:rPr>
          <w:rFonts w:ascii="Book Antiqua" w:hAnsi="Book Antiqua" w:cs="Book Antiqua"/>
        </w:rPr>
      </w:pPr>
      <w:r w:rsidRPr="008D730E">
        <w:rPr>
          <w:rFonts w:ascii="Book Antiqua" w:hAnsi="Book Antiqua" w:cs="Book Antiqua"/>
          <w:b/>
          <w:bCs/>
          <w:i/>
          <w:iCs/>
          <w:color w:val="C8092B"/>
          <w:sz w:val="20"/>
          <w:szCs w:val="20"/>
        </w:rPr>
        <w:t>■</w:t>
      </w:r>
      <w:r w:rsidRPr="008D730E">
        <w:rPr>
          <w:rFonts w:ascii="Book Antiqua" w:hAnsi="Book Antiqua" w:cs="Book Antiqua"/>
        </w:rPr>
        <w:tab/>
      </w:r>
      <w:r>
        <w:rPr>
          <w:rFonts w:ascii="Book Antiqua" w:hAnsi="Book Antiqua" w:cs="Book Antiqua"/>
          <w:b/>
          <w:bCs/>
          <w:color w:val="C8092B"/>
        </w:rPr>
        <w:t>Un outil d’inspiration britannique</w:t>
      </w:r>
    </w:p>
    <w:p w:rsidR="009E38A9" w:rsidRDefault="009E38A9" w:rsidP="00D54E3F">
      <w:pPr>
        <w:pStyle w:val="TexteChapitre"/>
        <w:widowControl w:val="0"/>
        <w:spacing w:after="60"/>
        <w:rPr>
          <w:rFonts w:ascii="Book Antiqua" w:hAnsi="Book Antiqua" w:cs="Book Antiqua"/>
        </w:rPr>
      </w:pPr>
      <w:r w:rsidRPr="00F55EA2">
        <w:rPr>
          <w:rFonts w:ascii="Book Antiqua" w:hAnsi="Book Antiqua" w:cs="Book Antiqua"/>
        </w:rPr>
        <w:t xml:space="preserve">Le contrat de partenariat trouve son origine dans la </w:t>
      </w:r>
      <w:r w:rsidRPr="00F55EA2">
        <w:rPr>
          <w:rFonts w:ascii="Book Antiqua" w:hAnsi="Book Antiqua" w:cs="Book Antiqua"/>
          <w:i/>
          <w:iCs/>
        </w:rPr>
        <w:t xml:space="preserve">Private Finance Initiative </w:t>
      </w:r>
      <w:r w:rsidRPr="00F55EA2">
        <w:rPr>
          <w:rFonts w:ascii="Book Antiqua" w:hAnsi="Book Antiqua" w:cs="Book Antiqua"/>
        </w:rPr>
        <w:t>(PFI)</w:t>
      </w:r>
      <w:r>
        <w:rPr>
          <w:rFonts w:ascii="Book Antiqua" w:hAnsi="Book Antiqua" w:cs="Book Antiqua"/>
        </w:rPr>
        <w:t>, mis en place en Grande-Bretagne en 1992. Il correspond à une « </w:t>
      </w:r>
      <w:r w:rsidRPr="00F55EA2">
        <w:rPr>
          <w:rFonts w:ascii="Book Antiqua" w:hAnsi="Book Antiqua" w:cs="Book Antiqua"/>
          <w:i/>
          <w:iCs/>
        </w:rPr>
        <w:t>forme de partenariat public-privé qui associe un programme de marché public, dans lequel le secteur public achète des éléments d’actif immobilisés au secteur privé, à une forme d’externalisation où les services publics sont contractuellement fournis par le secteur privé.</w:t>
      </w:r>
      <w:r>
        <w:rPr>
          <w:rFonts w:ascii="Book Antiqua" w:hAnsi="Book Antiqua" w:cs="Book Antiqua"/>
        </w:rPr>
        <w:t xml:space="preserve"> » </w:t>
      </w:r>
    </w:p>
    <w:p w:rsidR="009E38A9" w:rsidRPr="00F55EA2" w:rsidRDefault="009E38A9" w:rsidP="00D54E3F">
      <w:pPr>
        <w:pStyle w:val="TexteChapitre"/>
        <w:widowControl w:val="0"/>
        <w:spacing w:after="60"/>
        <w:rPr>
          <w:rFonts w:ascii="Book Antiqua" w:hAnsi="Book Antiqua" w:cs="Book Antiqua"/>
        </w:rPr>
      </w:pPr>
      <w:r w:rsidRPr="00F55EA2">
        <w:rPr>
          <w:rFonts w:ascii="Book Antiqua" w:hAnsi="Book Antiqua" w:cs="Book Antiqua"/>
        </w:rPr>
        <w:t>Ils représen</w:t>
      </w:r>
      <w:r>
        <w:rPr>
          <w:rFonts w:ascii="Book Antiqua" w:hAnsi="Book Antiqua" w:cs="Book Antiqua"/>
        </w:rPr>
        <w:t>tent aujourd’hui entre 10 et 15 </w:t>
      </w:r>
      <w:r w:rsidRPr="00F55EA2">
        <w:rPr>
          <w:rFonts w:ascii="Book Antiqua" w:hAnsi="Book Antiqua" w:cs="Book Antiqua"/>
        </w:rPr>
        <w:t>% des investissements publics en Grande Bretagne.</w:t>
      </w:r>
    </w:p>
    <w:p w:rsidR="009E38A9" w:rsidRDefault="009E38A9" w:rsidP="00C42222">
      <w:pPr>
        <w:pStyle w:val="TexteChapitre"/>
        <w:keepLines/>
        <w:spacing w:after="60"/>
        <w:rPr>
          <w:rFonts w:ascii="Book Antiqua" w:hAnsi="Book Antiqua" w:cs="Book Antiqua"/>
        </w:rPr>
      </w:pPr>
      <w:r w:rsidRPr="000F56DF">
        <w:rPr>
          <w:rFonts w:ascii="Book Antiqua" w:hAnsi="Book Antiqua" w:cs="Book Antiqua"/>
        </w:rPr>
        <w:t>Les conséquences pour le contribuable du recours aux PFI sont apparues très mitigées en raison du coût élevé de la redevance versée</w:t>
      </w:r>
      <w:r>
        <w:rPr>
          <w:rFonts w:ascii="Book Antiqua" w:hAnsi="Book Antiqua" w:cs="Book Antiqua"/>
        </w:rPr>
        <w:t xml:space="preserve"> et du manque de flexibilité, ne favorisant pas une mutabilité du service public</w:t>
      </w:r>
      <w:r w:rsidRPr="000F56DF">
        <w:rPr>
          <w:rFonts w:ascii="Book Antiqua" w:hAnsi="Book Antiqua" w:cs="Book Antiqua"/>
        </w:rPr>
        <w:t xml:space="preserve">. </w:t>
      </w:r>
    </w:p>
    <w:p w:rsidR="009E38A9" w:rsidRDefault="009E38A9" w:rsidP="007B766F">
      <w:pPr>
        <w:pStyle w:val="TexteChapitre"/>
        <w:spacing w:after="60"/>
        <w:rPr>
          <w:rFonts w:ascii="Book Antiqua" w:hAnsi="Book Antiqua" w:cs="Book Antiqua"/>
        </w:rPr>
      </w:pPr>
      <w:r>
        <w:rPr>
          <w:rFonts w:ascii="Book Antiqua" w:hAnsi="Book Antiqua" w:cs="Book Antiqua"/>
        </w:rPr>
        <w:t>C’est pourquoi, d</w:t>
      </w:r>
      <w:r w:rsidRPr="000F56DF">
        <w:rPr>
          <w:rFonts w:ascii="Book Antiqua" w:hAnsi="Book Antiqua" w:cs="Book Antiqua"/>
        </w:rPr>
        <w:t xml:space="preserve">epuis décembre 2012, les pouvoirs publics britanniques ont lancé une nouvelle approche du partenariat public-privé, la </w:t>
      </w:r>
      <w:r w:rsidRPr="000F56DF">
        <w:rPr>
          <w:rFonts w:ascii="Book Antiqua" w:hAnsi="Book Antiqua" w:cs="Book Antiqua"/>
          <w:i/>
          <w:iCs/>
        </w:rPr>
        <w:t xml:space="preserve">Private Finance 2 </w:t>
      </w:r>
      <w:r w:rsidRPr="000F56DF">
        <w:rPr>
          <w:rFonts w:ascii="Book Antiqua" w:hAnsi="Book Antiqua" w:cs="Book Antiqua"/>
        </w:rPr>
        <w:t>(PF2)</w:t>
      </w:r>
      <w:r>
        <w:rPr>
          <w:rFonts w:ascii="Book Antiqua" w:hAnsi="Book Antiqua" w:cs="Book Antiqua"/>
        </w:rPr>
        <w:t>,</w:t>
      </w:r>
      <w:r w:rsidRPr="000F56DF">
        <w:rPr>
          <w:rFonts w:ascii="Book Antiqua" w:hAnsi="Book Antiqua" w:cs="Book Antiqua"/>
        </w:rPr>
        <w:t xml:space="preserve"> afin de modifier le périmètre des contrats </w:t>
      </w:r>
      <w:r>
        <w:rPr>
          <w:rFonts w:ascii="Book Antiqua" w:hAnsi="Book Antiqua" w:cs="Book Antiqua"/>
        </w:rPr>
        <w:t>et</w:t>
      </w:r>
      <w:r w:rsidRPr="000F56DF">
        <w:rPr>
          <w:rFonts w:ascii="Book Antiqua" w:hAnsi="Book Antiqua" w:cs="Book Antiqua"/>
        </w:rPr>
        <w:t xml:space="preserve"> de réduire la part de financement d’origine bancaire dans les fonds privés investis.</w:t>
      </w:r>
    </w:p>
    <w:p w:rsidR="009E38A9" w:rsidRPr="000F56DF" w:rsidRDefault="009E38A9" w:rsidP="007B766F">
      <w:pPr>
        <w:pStyle w:val="TexteChapitre"/>
        <w:spacing w:after="60"/>
        <w:rPr>
          <w:rFonts w:ascii="Book Antiqua" w:hAnsi="Book Antiqua" w:cs="Book Antiqua"/>
        </w:rPr>
      </w:pPr>
    </w:p>
    <w:p w:rsidR="009E38A9" w:rsidRPr="008D730E" w:rsidRDefault="009E38A9" w:rsidP="008B2537">
      <w:pPr>
        <w:pStyle w:val="TexteChapitre"/>
        <w:keepNext/>
        <w:keepLines/>
        <w:widowControl w:val="0"/>
        <w:tabs>
          <w:tab w:val="left" w:pos="142"/>
        </w:tabs>
        <w:spacing w:after="0"/>
        <w:rPr>
          <w:rFonts w:ascii="Book Antiqua" w:hAnsi="Book Antiqua" w:cs="Book Antiqua"/>
        </w:rPr>
      </w:pPr>
      <w:r w:rsidRPr="008D730E">
        <w:rPr>
          <w:rFonts w:ascii="Book Antiqua" w:hAnsi="Book Antiqua" w:cs="Book Antiqua"/>
          <w:b/>
          <w:bCs/>
          <w:i/>
          <w:iCs/>
          <w:color w:val="C8092B"/>
          <w:sz w:val="20"/>
          <w:szCs w:val="20"/>
        </w:rPr>
        <w:t>■</w:t>
      </w:r>
      <w:r w:rsidRPr="008D730E">
        <w:rPr>
          <w:rFonts w:ascii="Book Antiqua" w:hAnsi="Book Antiqua" w:cs="Book Antiqua"/>
        </w:rPr>
        <w:tab/>
      </w:r>
      <w:r>
        <w:rPr>
          <w:rFonts w:ascii="Book Antiqua" w:hAnsi="Book Antiqua" w:cs="Book Antiqua"/>
          <w:b/>
          <w:bCs/>
          <w:color w:val="C8092B"/>
        </w:rPr>
        <w:t>A l’origine, un outil dérogatoire de la commande publique</w:t>
      </w:r>
    </w:p>
    <w:p w:rsidR="009E38A9" w:rsidRPr="00B03C5D" w:rsidRDefault="009E38A9" w:rsidP="008B2537">
      <w:pPr>
        <w:pStyle w:val="TexteChapitre"/>
        <w:keepLines/>
        <w:widowControl w:val="0"/>
        <w:spacing w:after="60"/>
        <w:rPr>
          <w:rFonts w:ascii="Book Antiqua" w:hAnsi="Book Antiqua" w:cs="Book Antiqua"/>
        </w:rPr>
      </w:pPr>
      <w:r>
        <w:rPr>
          <w:rFonts w:ascii="Book Antiqua" w:hAnsi="Book Antiqua" w:cs="Book Antiqua"/>
        </w:rPr>
        <w:t xml:space="preserve">L’article 2 de l’ordonnance du 17 juin 2004 sur les contrats de partenariat, inspiré par les réserves d’interprétation de la décision du Conseil constitutionnel du 26 juin 2003, prévoyait qu’il ne pouvait être recouru à un contrat de partenariat que s’il était justifié de déroger au droit commun, au regard de l’un des deux critères suivants : </w:t>
      </w:r>
    </w:p>
    <w:p w:rsidR="009E38A9" w:rsidRDefault="009E38A9" w:rsidP="008B2537">
      <w:pPr>
        <w:pStyle w:val="TexteChapitre"/>
        <w:widowControl w:val="0"/>
        <w:numPr>
          <w:ilvl w:val="0"/>
          <w:numId w:val="17"/>
        </w:numPr>
        <w:tabs>
          <w:tab w:val="left" w:pos="284"/>
        </w:tabs>
        <w:spacing w:after="60"/>
        <w:ind w:left="0" w:firstLine="0"/>
        <w:rPr>
          <w:rFonts w:ascii="Book Antiqua" w:hAnsi="Book Antiqua" w:cs="Book Antiqua"/>
        </w:rPr>
      </w:pPr>
      <w:r>
        <w:rPr>
          <w:rFonts w:ascii="Book Antiqua" w:hAnsi="Book Antiqua" w:cs="Book Antiqua"/>
        </w:rPr>
        <w:t xml:space="preserve">la </w:t>
      </w:r>
      <w:r w:rsidRPr="00BA42B4">
        <w:rPr>
          <w:rFonts w:ascii="Book Antiqua" w:hAnsi="Book Antiqua" w:cs="Book Antiqua"/>
          <w:b/>
          <w:bCs/>
        </w:rPr>
        <w:t>complexité</w:t>
      </w:r>
      <w:r>
        <w:rPr>
          <w:rFonts w:ascii="Book Antiqua" w:hAnsi="Book Antiqua" w:cs="Book Antiqua"/>
        </w:rPr>
        <w:t xml:space="preserve"> du projet qui ne permettrait pas à la personne publique de définir objectivement elle-même les moyens techniques pouvant répondre à ses besoins ou d’établir le montage financier ou juridique du projet ;</w:t>
      </w:r>
    </w:p>
    <w:p w:rsidR="009E38A9" w:rsidRDefault="009E38A9" w:rsidP="008B2537">
      <w:pPr>
        <w:pStyle w:val="TexteChapitre"/>
        <w:widowControl w:val="0"/>
        <w:numPr>
          <w:ilvl w:val="0"/>
          <w:numId w:val="17"/>
        </w:numPr>
        <w:tabs>
          <w:tab w:val="left" w:pos="284"/>
        </w:tabs>
        <w:spacing w:after="60"/>
        <w:ind w:left="0" w:firstLine="0"/>
        <w:rPr>
          <w:rFonts w:ascii="Book Antiqua" w:hAnsi="Book Antiqua" w:cs="Book Antiqua"/>
        </w:rPr>
      </w:pPr>
      <w:r>
        <w:rPr>
          <w:rFonts w:ascii="Book Antiqua" w:hAnsi="Book Antiqua" w:cs="Book Antiqua"/>
        </w:rPr>
        <w:t>l’</w:t>
      </w:r>
      <w:r w:rsidRPr="00BA42B4">
        <w:rPr>
          <w:rFonts w:ascii="Book Antiqua" w:hAnsi="Book Antiqua" w:cs="Book Antiqua"/>
          <w:b/>
          <w:bCs/>
        </w:rPr>
        <w:t>urgence</w:t>
      </w:r>
      <w:r>
        <w:rPr>
          <w:rFonts w:ascii="Book Antiqua" w:hAnsi="Book Antiqua" w:cs="Book Antiqua"/>
        </w:rPr>
        <w:t xml:space="preserve"> lorsqu’il s’agit de rattraper un retard préjudiciable à l’intérêt général affectant la réalisation d’équipements collectifs ou l’exercice d’une mission de service public ou de faire face à une situation imprévisible.</w:t>
      </w:r>
    </w:p>
    <w:p w:rsidR="009E38A9" w:rsidRDefault="009E38A9" w:rsidP="008B2537">
      <w:pPr>
        <w:pStyle w:val="TexteChapitre"/>
        <w:widowControl w:val="0"/>
        <w:spacing w:after="60"/>
        <w:rPr>
          <w:rFonts w:ascii="Book Antiqua" w:hAnsi="Book Antiqua" w:cs="Book Antiqua"/>
        </w:rPr>
      </w:pPr>
      <w:r>
        <w:rPr>
          <w:rFonts w:ascii="Book Antiqua" w:hAnsi="Book Antiqua" w:cs="Book Antiqua"/>
        </w:rPr>
        <w:t>Ces deux critères ont ensuite été complétés, par l’article 2 de la loi du 28 juillet 2008 relative aux contrats de partenariat, par celui de l’</w:t>
      </w:r>
      <w:r w:rsidRPr="00E43F51">
        <w:rPr>
          <w:rFonts w:ascii="Book Antiqua" w:hAnsi="Book Antiqua" w:cs="Book Antiqua"/>
          <w:b/>
          <w:bCs/>
        </w:rPr>
        <w:t>efficience économique</w:t>
      </w:r>
      <w:r>
        <w:rPr>
          <w:rFonts w:ascii="Book Antiqua" w:hAnsi="Book Antiqua" w:cs="Book Antiqua"/>
        </w:rPr>
        <w:t>, qui autorise la conclusion d’un contrat de partenariat si celui-ci est source d’économies par rapport à une autre modalité de la commande publique.</w:t>
      </w:r>
    </w:p>
    <w:p w:rsidR="009E38A9" w:rsidRPr="00E43F51" w:rsidRDefault="009E38A9" w:rsidP="008B2537">
      <w:pPr>
        <w:pStyle w:val="TexteChapitre"/>
        <w:widowControl w:val="0"/>
        <w:spacing w:after="60"/>
        <w:rPr>
          <w:rFonts w:ascii="Book Antiqua" w:hAnsi="Book Antiqua" w:cs="Book Antiqua"/>
        </w:rPr>
      </w:pPr>
      <w:r w:rsidRPr="0072739D">
        <w:rPr>
          <w:rFonts w:ascii="Book Antiqua" w:hAnsi="Book Antiqua" w:cs="Book Antiqua"/>
          <w:b/>
          <w:bCs/>
        </w:rPr>
        <w:t>Ces trois critères sont alternatifs et non cumulatifs</w:t>
      </w:r>
      <w:r>
        <w:rPr>
          <w:rFonts w:ascii="Book Antiqua" w:hAnsi="Book Antiqua" w:cs="Book Antiqua"/>
        </w:rPr>
        <w:t>. La présence de l’un de ces critères suffit à justifier le recours à un contrat de partenariat.</w:t>
      </w:r>
    </w:p>
    <w:p w:rsidR="009E38A9" w:rsidRDefault="009E38A9" w:rsidP="008B2537">
      <w:pPr>
        <w:pStyle w:val="TexteChapitre"/>
        <w:widowControl w:val="0"/>
        <w:spacing w:after="60"/>
        <w:rPr>
          <w:rFonts w:ascii="Book Antiqua" w:hAnsi="Book Antiqua" w:cs="Book Antiqua"/>
        </w:rPr>
      </w:pPr>
      <w:r>
        <w:rPr>
          <w:rFonts w:ascii="Book Antiqua" w:hAnsi="Book Antiqua" w:cs="Book Antiqua"/>
        </w:rPr>
        <w:t xml:space="preserve">Si le Conseil constitutionnel a autorisé la mise en œuvre et l’élargissement du recours aux contrats de partenariat, il s’est néanmoins opposé à sa généralisation, estimant que le contrat de partenariat </w:t>
      </w:r>
      <w:r w:rsidRPr="00921F79">
        <w:rPr>
          <w:rFonts w:ascii="Book Antiqua" w:hAnsi="Book Antiqua" w:cs="Book Antiqua"/>
          <w:b/>
          <w:bCs/>
        </w:rPr>
        <w:t>restait</w:t>
      </w:r>
      <w:r w:rsidRPr="0072739D">
        <w:rPr>
          <w:rFonts w:ascii="Book Antiqua" w:hAnsi="Book Antiqua" w:cs="Book Antiqua"/>
          <w:b/>
          <w:bCs/>
        </w:rPr>
        <w:t xml:space="preserve"> une formule dérogatoire au droit commun et</w:t>
      </w:r>
      <w:r>
        <w:rPr>
          <w:rFonts w:ascii="Book Antiqua" w:hAnsi="Book Antiqua" w:cs="Book Antiqua"/>
          <w:b/>
          <w:bCs/>
        </w:rPr>
        <w:t>, qu’à ce titre,</w:t>
      </w:r>
      <w:r w:rsidRPr="0072739D">
        <w:rPr>
          <w:rFonts w:ascii="Book Antiqua" w:hAnsi="Book Antiqua" w:cs="Book Antiqua"/>
          <w:b/>
          <w:bCs/>
        </w:rPr>
        <w:t xml:space="preserve"> son recours </w:t>
      </w:r>
      <w:r>
        <w:rPr>
          <w:rFonts w:ascii="Book Antiqua" w:hAnsi="Book Antiqua" w:cs="Book Antiqua"/>
          <w:b/>
          <w:bCs/>
        </w:rPr>
        <w:t xml:space="preserve">devait être </w:t>
      </w:r>
      <w:r w:rsidRPr="0072739D">
        <w:rPr>
          <w:rFonts w:ascii="Book Antiqua" w:hAnsi="Book Antiqua" w:cs="Book Antiqua"/>
          <w:b/>
          <w:bCs/>
        </w:rPr>
        <w:t>dûment justifié</w:t>
      </w:r>
      <w:r>
        <w:rPr>
          <w:rFonts w:ascii="Book Antiqua" w:hAnsi="Book Antiqua" w:cs="Book Antiqua"/>
        </w:rPr>
        <w:t xml:space="preserve">. </w:t>
      </w:r>
    </w:p>
    <w:p w:rsidR="009E38A9" w:rsidRDefault="009E38A9" w:rsidP="008B2537">
      <w:pPr>
        <w:pStyle w:val="TexteChapitre"/>
        <w:widowControl w:val="0"/>
        <w:spacing w:after="60"/>
        <w:rPr>
          <w:rFonts w:ascii="Book Antiqua" w:hAnsi="Book Antiqua" w:cs="Book Antiqua"/>
        </w:rPr>
      </w:pPr>
      <w:r>
        <w:rPr>
          <w:rFonts w:ascii="Book Antiqua" w:hAnsi="Book Antiqua" w:cs="Book Antiqua"/>
        </w:rPr>
        <w:t>Il a par ailleurs précisé, par une jurisprudence constante, les trois critères de recours à un contrat de partenariat.</w:t>
      </w:r>
    </w:p>
    <w:p w:rsidR="009E38A9" w:rsidRPr="008D730E" w:rsidRDefault="009E38A9" w:rsidP="008B2537">
      <w:pPr>
        <w:pStyle w:val="TexteChapitre"/>
        <w:widowControl w:val="0"/>
        <w:spacing w:after="0"/>
        <w:ind w:left="181" w:hanging="181"/>
        <w:rPr>
          <w:rFonts w:ascii="Book Antiqua" w:hAnsi="Book Antiqua" w:cs="Book Antiqua"/>
        </w:rPr>
      </w:pPr>
      <w:r w:rsidRPr="008D730E">
        <w:rPr>
          <w:rFonts w:ascii="Book Antiqua" w:hAnsi="Book Antiqua" w:cs="Book Antiqua"/>
          <w:b/>
          <w:bCs/>
          <w:i/>
          <w:iCs/>
          <w:color w:val="C8092B"/>
          <w:sz w:val="20"/>
          <w:szCs w:val="20"/>
        </w:rPr>
        <w:t>■</w:t>
      </w:r>
      <w:r w:rsidRPr="008D730E">
        <w:rPr>
          <w:rFonts w:ascii="Book Antiqua" w:hAnsi="Book Antiqua" w:cs="Book Antiqua"/>
        </w:rPr>
        <w:tab/>
      </w:r>
      <w:r w:rsidRPr="00E43F51">
        <w:rPr>
          <w:rFonts w:ascii="Book Antiqua" w:hAnsi="Book Antiqua" w:cs="Book Antiqua"/>
          <w:b/>
          <w:bCs/>
          <w:color w:val="C8092B"/>
        </w:rPr>
        <w:t>L’établissement d’une évaluation préalable</w:t>
      </w:r>
    </w:p>
    <w:p w:rsidR="009E38A9" w:rsidRDefault="009E38A9" w:rsidP="00202AB0">
      <w:pPr>
        <w:pStyle w:val="TexteChapitre"/>
        <w:widowControl w:val="0"/>
        <w:rPr>
          <w:rFonts w:ascii="Book Antiqua" w:hAnsi="Book Antiqua" w:cs="Book Antiqua"/>
        </w:rPr>
      </w:pPr>
      <w:r w:rsidRPr="00E43F51">
        <w:rPr>
          <w:rFonts w:ascii="Book Antiqua" w:hAnsi="Book Antiqua" w:cs="Book Antiqua"/>
        </w:rPr>
        <w:t>Pour vérifier l’effectivité et la présence d’un de ces critères, la per</w:t>
      </w:r>
      <w:r>
        <w:rPr>
          <w:rFonts w:ascii="Book Antiqua" w:hAnsi="Book Antiqua" w:cs="Book Antiqua"/>
        </w:rPr>
        <w:t>s</w:t>
      </w:r>
      <w:r w:rsidRPr="00E43F51">
        <w:rPr>
          <w:rFonts w:ascii="Book Antiqua" w:hAnsi="Book Antiqua" w:cs="Book Antiqua"/>
        </w:rPr>
        <w:t>onne publique doit procéder</w:t>
      </w:r>
      <w:r>
        <w:rPr>
          <w:rFonts w:ascii="Book Antiqua" w:hAnsi="Book Antiqua" w:cs="Book Antiqua"/>
        </w:rPr>
        <w:t>,</w:t>
      </w:r>
    </w:p>
    <w:p w:rsidR="009E38A9" w:rsidRDefault="009E38A9" w:rsidP="008B2537">
      <w:pPr>
        <w:pStyle w:val="TexteChapitre"/>
        <w:widowControl w:val="0"/>
        <w:spacing w:after="120"/>
        <w:rPr>
          <w:rFonts w:ascii="Book Antiqua" w:hAnsi="Book Antiqua" w:cs="Book Antiqua"/>
        </w:rPr>
      </w:pPr>
      <w:r>
        <w:rPr>
          <w:rFonts w:ascii="Book Antiqua" w:hAnsi="Book Antiqua" w:cs="Book Antiqua"/>
        </w:rPr>
        <w:t xml:space="preserve"> avant la conclusion du contrat, à l’</w:t>
      </w:r>
      <w:r w:rsidRPr="0072739D">
        <w:rPr>
          <w:rFonts w:ascii="Book Antiqua" w:hAnsi="Book Antiqua" w:cs="Book Antiqua"/>
          <w:b/>
          <w:bCs/>
        </w:rPr>
        <w:t>établissement d’une évaluation préalab</w:t>
      </w:r>
      <w:r w:rsidRPr="00C42222">
        <w:rPr>
          <w:rFonts w:ascii="Book Antiqua" w:hAnsi="Book Antiqua" w:cs="Book Antiqua"/>
          <w:b/>
          <w:bCs/>
        </w:rPr>
        <w:t>le</w:t>
      </w:r>
      <w:r>
        <w:rPr>
          <w:rFonts w:ascii="Book Antiqua" w:hAnsi="Book Antiqua" w:cs="Book Antiqua"/>
        </w:rPr>
        <w:t xml:space="preserve"> afin de justifier que le choix d’un contrat de partenariat pour un projet donné constitue la réponse la plus pertinente.</w:t>
      </w:r>
    </w:p>
    <w:p w:rsidR="009E38A9" w:rsidRDefault="009E38A9" w:rsidP="008B2537">
      <w:pPr>
        <w:pStyle w:val="TexteChapitre"/>
        <w:keepNext/>
        <w:widowControl w:val="0"/>
        <w:tabs>
          <w:tab w:val="left" w:pos="284"/>
        </w:tabs>
        <w:spacing w:after="0"/>
        <w:rPr>
          <w:rFonts w:ascii="Book Antiqua" w:hAnsi="Book Antiqua" w:cs="Book Antiqua"/>
          <w:b/>
          <w:bCs/>
          <w:color w:val="C8092B"/>
        </w:rPr>
      </w:pPr>
      <w:r w:rsidRPr="008D730E">
        <w:rPr>
          <w:rFonts w:ascii="Book Antiqua" w:hAnsi="Book Antiqua" w:cs="Book Antiqua"/>
          <w:b/>
          <w:bCs/>
          <w:i/>
          <w:iCs/>
          <w:color w:val="C8092B"/>
          <w:sz w:val="20"/>
          <w:szCs w:val="20"/>
        </w:rPr>
        <w:t>■</w:t>
      </w:r>
      <w:r w:rsidRPr="008D730E">
        <w:rPr>
          <w:rFonts w:ascii="Book Antiqua" w:hAnsi="Book Antiqua" w:cs="Book Antiqua"/>
        </w:rPr>
        <w:tab/>
      </w:r>
      <w:r>
        <w:rPr>
          <w:rFonts w:ascii="Book Antiqua" w:hAnsi="Book Antiqua" w:cs="Book Antiqua"/>
          <w:b/>
          <w:bCs/>
          <w:color w:val="C8092B"/>
        </w:rPr>
        <w:t>Des modes de rémunération et de financement dérogatoires</w:t>
      </w:r>
    </w:p>
    <w:p w:rsidR="009E38A9" w:rsidRDefault="009E38A9" w:rsidP="008B2537">
      <w:pPr>
        <w:pStyle w:val="TexteChapitre"/>
        <w:keepNext/>
        <w:widowControl w:val="0"/>
        <w:tabs>
          <w:tab w:val="left" w:pos="284"/>
        </w:tabs>
        <w:spacing w:after="60"/>
        <w:rPr>
          <w:rFonts w:ascii="Book Antiqua" w:hAnsi="Book Antiqua" w:cs="Book Antiqua"/>
        </w:rPr>
      </w:pPr>
      <w:r>
        <w:rPr>
          <w:rFonts w:ascii="Book Antiqua" w:hAnsi="Book Antiqua" w:cs="Book Antiqua"/>
        </w:rPr>
        <w:t>La rémunération de la personne privée est échelonnée sur toute la durée de l’exploitation et n’intervient pas, d’un seul bloc, après constat d’un « service fait » ou après « réception des travaux ». De surcroît, elle n’est pas nécessairement forfaitaire et intégralement prédéfinie puisque la méconnaissance des critères de performance peut valoir au cocontractant des pénalités financières déduites de sa rémunération et que les recettes de valorisation issues de l’exploitation par le cocontractant du domaine public peuvent se substituer à une partie de la redevance versée par la personne publique.</w:t>
      </w:r>
    </w:p>
    <w:p w:rsidR="009E38A9" w:rsidRDefault="009E38A9" w:rsidP="008B2537">
      <w:pPr>
        <w:pStyle w:val="TexteChapitre"/>
        <w:keepNext/>
        <w:widowControl w:val="0"/>
        <w:tabs>
          <w:tab w:val="left" w:pos="284"/>
        </w:tabs>
        <w:spacing w:after="60"/>
        <w:rPr>
          <w:rFonts w:ascii="Book Antiqua" w:hAnsi="Book Antiqua" w:cs="Book Antiqua"/>
        </w:rPr>
      </w:pPr>
      <w:r>
        <w:rPr>
          <w:rFonts w:ascii="Book Antiqua" w:hAnsi="Book Antiqua" w:cs="Book Antiqua"/>
        </w:rPr>
        <w:t>Quant au financement, il repose en partie sur les fonds propres de la société de réalisation dédiée au projet, titulaire du contrat de partenariat, qui représentent environ 10 % du montant total du projet, et sur des financements bancaires, dont la nature évolue entre la construction et l’exploitation de l’ouvrage.</w:t>
      </w:r>
    </w:p>
    <w:p w:rsidR="009E38A9" w:rsidRDefault="009E38A9" w:rsidP="008B2537">
      <w:pPr>
        <w:pStyle w:val="TexteChapitre"/>
        <w:keepNext/>
        <w:widowControl w:val="0"/>
        <w:tabs>
          <w:tab w:val="left" w:pos="284"/>
        </w:tabs>
        <w:spacing w:after="60"/>
        <w:rPr>
          <w:rFonts w:ascii="Book Antiqua" w:hAnsi="Book Antiqua" w:cs="Book Antiqua"/>
        </w:rPr>
      </w:pPr>
      <w:r>
        <w:rPr>
          <w:rFonts w:ascii="Book Antiqua" w:hAnsi="Book Antiqua" w:cs="Book Antiqua"/>
        </w:rPr>
        <w:t>Une fraction de dette bancaire de long terme (au maximum 80 % de l’investissement et du financement du projet) fait l’objet d’une cession de créance par la société de réalisation dédiée au projet, dite « cession Dailly », aux établissements bancaires.</w:t>
      </w:r>
    </w:p>
    <w:p w:rsidR="009E38A9" w:rsidRDefault="009E38A9" w:rsidP="008B2537">
      <w:pPr>
        <w:pStyle w:val="TexteChapitre"/>
        <w:keepNext/>
        <w:widowControl w:val="0"/>
        <w:tabs>
          <w:tab w:val="left" w:pos="284"/>
        </w:tabs>
        <w:spacing w:after="0"/>
        <w:rPr>
          <w:rFonts w:ascii="Book Antiqua" w:hAnsi="Book Antiqua" w:cs="Book Antiqua"/>
          <w:b/>
          <w:bCs/>
          <w:color w:val="C8092B"/>
        </w:rPr>
      </w:pPr>
      <w:r w:rsidRPr="008D730E">
        <w:rPr>
          <w:rFonts w:ascii="Book Antiqua" w:hAnsi="Book Antiqua" w:cs="Book Antiqua"/>
          <w:b/>
          <w:bCs/>
          <w:i/>
          <w:iCs/>
          <w:color w:val="C8092B"/>
          <w:sz w:val="20"/>
          <w:szCs w:val="20"/>
        </w:rPr>
        <w:t>■</w:t>
      </w:r>
      <w:r w:rsidRPr="008D730E">
        <w:rPr>
          <w:rFonts w:ascii="Book Antiqua" w:hAnsi="Book Antiqua" w:cs="Book Antiqua"/>
        </w:rPr>
        <w:tab/>
      </w:r>
      <w:r w:rsidRPr="00921F79">
        <w:rPr>
          <w:rFonts w:ascii="Book Antiqua" w:hAnsi="Book Antiqua" w:cs="Book Antiqua"/>
          <w:b/>
          <w:bCs/>
          <w:color w:val="C8092B"/>
        </w:rPr>
        <w:t>La méconnaissance de la spécificité des métiers</w:t>
      </w:r>
    </w:p>
    <w:p w:rsidR="009E38A9" w:rsidRPr="00921F79" w:rsidRDefault="009E38A9" w:rsidP="008B2537">
      <w:pPr>
        <w:pStyle w:val="TexteChapitre"/>
        <w:keepNext/>
        <w:widowControl w:val="0"/>
        <w:tabs>
          <w:tab w:val="left" w:pos="284"/>
        </w:tabs>
        <w:spacing w:after="60"/>
        <w:rPr>
          <w:rFonts w:ascii="Book Antiqua" w:hAnsi="Book Antiqua" w:cs="Book Antiqua"/>
        </w:rPr>
      </w:pPr>
      <w:r w:rsidRPr="00921F79">
        <w:rPr>
          <w:rFonts w:ascii="Book Antiqua" w:hAnsi="Book Antiqua" w:cs="Book Antiqua"/>
        </w:rPr>
        <w:t>Avec un contrat de partenariat, la personne publique choisit en une seule fois les instances qui assureront le financement du projet, son architecture, sa construction, son exploitation, sa maintenance, son entretien. Ce choix global présente de nombreux inconvénients. En effet, il ne garantit en rien que les choix optimaux sont faits pour chaque fonction.</w:t>
      </w:r>
    </w:p>
    <w:p w:rsidR="009E38A9" w:rsidRPr="00D80B3D" w:rsidRDefault="009E38A9" w:rsidP="00D80B3D">
      <w:pPr>
        <w:pStyle w:val="TexteChapitre"/>
        <w:widowControl w:val="0"/>
        <w:spacing w:after="0"/>
        <w:rPr>
          <w:rFonts w:ascii="Book Antiqua" w:hAnsi="Book Antiqua" w:cs="Book Antiqua"/>
          <w:sz w:val="2"/>
          <w:szCs w:val="2"/>
        </w:rPr>
      </w:pPr>
    </w:p>
    <w:p w:rsidR="009E38A9" w:rsidRPr="00D80B3D" w:rsidRDefault="009E38A9" w:rsidP="00D80B3D">
      <w:pPr>
        <w:pStyle w:val="TexteChapitre"/>
        <w:widowControl w:val="0"/>
        <w:spacing w:after="0"/>
        <w:rPr>
          <w:rFonts w:ascii="Book Antiqua" w:hAnsi="Book Antiqua" w:cs="Book Antiqua"/>
          <w:sz w:val="2"/>
          <w:szCs w:val="2"/>
        </w:rPr>
        <w:sectPr w:rsidR="009E38A9" w:rsidRPr="00D80B3D" w:rsidSect="002072D2">
          <w:headerReference w:type="default" r:id="rId13"/>
          <w:type w:val="continuous"/>
          <w:pgSz w:w="11906" w:h="16838" w:code="9"/>
          <w:pgMar w:top="1207" w:right="1133" w:bottom="902" w:left="1134" w:header="709" w:footer="301" w:gutter="0"/>
          <w:cols w:num="2" w:space="282"/>
          <w:titlePg/>
          <w:docGrid w:linePitch="360"/>
        </w:sectPr>
      </w:pPr>
    </w:p>
    <w:tbl>
      <w:tblPr>
        <w:tblW w:w="9640" w:type="dxa"/>
        <w:tblInd w:w="-176" w:type="dxa"/>
        <w:tblLook w:val="00A0"/>
      </w:tblPr>
      <w:tblGrid>
        <w:gridCol w:w="9640"/>
      </w:tblGrid>
      <w:tr w:rsidR="009E38A9" w:rsidRPr="00EE4E95">
        <w:tc>
          <w:tcPr>
            <w:tcW w:w="9640" w:type="dxa"/>
            <w:shd w:val="clear" w:color="auto" w:fill="C00000"/>
            <w:vAlign w:val="center"/>
          </w:tcPr>
          <w:p w:rsidR="009E38A9" w:rsidRPr="0072739D" w:rsidRDefault="009E38A9" w:rsidP="00D80B3D">
            <w:pPr>
              <w:keepNext/>
              <w:keepLines/>
              <w:widowControl w:val="0"/>
              <w:spacing w:before="60" w:after="60"/>
              <w:jc w:val="center"/>
              <w:rPr>
                <w:rFonts w:ascii="Book Antiqua" w:hAnsi="Book Antiqua" w:cs="Book Antiqua"/>
                <w:b/>
                <w:bCs/>
              </w:rPr>
            </w:pPr>
            <w:r w:rsidRPr="0072739D">
              <w:rPr>
                <w:rFonts w:ascii="Book Antiqua" w:hAnsi="Book Antiqua" w:cs="Book Antiqua"/>
                <w:b/>
                <w:bCs/>
              </w:rPr>
              <w:t>Une volonté de généraliser les contrats de partenar</w:t>
            </w:r>
            <w:r>
              <w:rPr>
                <w:rFonts w:ascii="Book Antiqua" w:hAnsi="Book Antiqua" w:cs="Book Antiqua"/>
                <w:b/>
                <w:bCs/>
              </w:rPr>
              <w:t>i</w:t>
            </w:r>
            <w:r w:rsidRPr="0072739D">
              <w:rPr>
                <w:rFonts w:ascii="Book Antiqua" w:hAnsi="Book Antiqua" w:cs="Book Antiqua"/>
                <w:b/>
                <w:bCs/>
              </w:rPr>
              <w:t>at</w:t>
            </w:r>
          </w:p>
        </w:tc>
      </w:tr>
    </w:tbl>
    <w:p w:rsidR="009E38A9" w:rsidRPr="00EE4E95" w:rsidRDefault="009E38A9" w:rsidP="00D80B3D">
      <w:pPr>
        <w:pStyle w:val="TexteChapitre"/>
        <w:keepNext/>
        <w:keepLines/>
        <w:widowControl w:val="0"/>
        <w:spacing w:after="120"/>
        <w:rPr>
          <w:rFonts w:ascii="Book Antiqua" w:hAnsi="Book Antiqua" w:cs="Book Antiqua"/>
          <w:highlight w:val="yellow"/>
        </w:rPr>
        <w:sectPr w:rsidR="009E38A9" w:rsidRPr="00EE4E95" w:rsidSect="00543D49">
          <w:type w:val="continuous"/>
          <w:pgSz w:w="11906" w:h="16838" w:code="9"/>
          <w:pgMar w:top="1207" w:right="1418" w:bottom="902" w:left="1418" w:header="709" w:footer="301" w:gutter="0"/>
          <w:cols w:space="282"/>
          <w:titlePg/>
          <w:docGrid w:linePitch="360"/>
        </w:sectPr>
      </w:pPr>
    </w:p>
    <w:p w:rsidR="009E38A9" w:rsidRPr="00EE4E95" w:rsidRDefault="009E38A9" w:rsidP="00D80B3D">
      <w:pPr>
        <w:pStyle w:val="TexteChapitre"/>
        <w:keepNext/>
        <w:keepLines/>
        <w:widowControl w:val="0"/>
        <w:spacing w:after="0"/>
        <w:rPr>
          <w:rFonts w:ascii="Book Antiqua" w:hAnsi="Book Antiqua" w:cs="Book Antiqua"/>
          <w:sz w:val="8"/>
          <w:szCs w:val="8"/>
          <w:highlight w:val="yellow"/>
        </w:rPr>
        <w:sectPr w:rsidR="009E38A9" w:rsidRPr="00EE4E95" w:rsidSect="00543D49">
          <w:type w:val="continuous"/>
          <w:pgSz w:w="11906" w:h="16838" w:code="9"/>
          <w:pgMar w:top="1207" w:right="1418" w:bottom="902" w:left="1418" w:header="709" w:footer="301" w:gutter="0"/>
          <w:cols w:num="2" w:space="282"/>
          <w:titlePg/>
          <w:docGrid w:linePitch="360"/>
        </w:sectPr>
      </w:pPr>
    </w:p>
    <w:p w:rsidR="009E38A9" w:rsidRPr="00A84621" w:rsidRDefault="009E38A9" w:rsidP="00A84621">
      <w:pPr>
        <w:pStyle w:val="TexteChapitre"/>
        <w:widowControl w:val="0"/>
        <w:spacing w:after="0"/>
        <w:ind w:left="181" w:right="-142" w:hanging="181"/>
        <w:rPr>
          <w:rFonts w:ascii="Book Antiqua" w:hAnsi="Book Antiqua" w:cs="Book Antiqua"/>
          <w:b/>
          <w:bCs/>
          <w:color w:val="C8092B"/>
        </w:rPr>
      </w:pPr>
      <w:r w:rsidRPr="00A84621">
        <w:rPr>
          <w:rFonts w:ascii="Book Antiqua" w:hAnsi="Book Antiqua" w:cs="Book Antiqua"/>
          <w:b/>
          <w:bCs/>
          <w:color w:val="C8092B"/>
        </w:rPr>
        <w:t>■</w:t>
      </w:r>
      <w:r w:rsidRPr="00A84621">
        <w:rPr>
          <w:rFonts w:ascii="Book Antiqua" w:hAnsi="Book Antiqua" w:cs="Book Antiqua"/>
          <w:b/>
          <w:bCs/>
          <w:color w:val="C8092B"/>
        </w:rPr>
        <w:tab/>
        <w:t>Les raisons d’un succès rapide</w:t>
      </w:r>
    </w:p>
    <w:p w:rsidR="009E38A9" w:rsidRDefault="009E38A9" w:rsidP="00202AB0">
      <w:pPr>
        <w:pStyle w:val="TexteChapitre"/>
        <w:widowControl w:val="0"/>
        <w:tabs>
          <w:tab w:val="left" w:pos="426"/>
        </w:tabs>
        <w:spacing w:after="60"/>
        <w:ind w:right="-2"/>
        <w:rPr>
          <w:rFonts w:ascii="Book Antiqua" w:hAnsi="Book Antiqua" w:cs="Book Antiqua"/>
        </w:rPr>
      </w:pPr>
      <w:r>
        <w:rPr>
          <w:rFonts w:ascii="Book Antiqua" w:hAnsi="Book Antiqua" w:cs="Book Antiqua"/>
        </w:rPr>
        <w:t>La mission d’appui aux partenariats public-privé (Mappp), mise en place en mai 2005, a largement contribué à la diffusion des contrats de partenariat auprès des personnes publiques. Cet organisme expert a pour mission de fournir un</w:t>
      </w:r>
      <w:r w:rsidRPr="00B954F7">
        <w:rPr>
          <w:rFonts w:ascii="Book Antiqua" w:hAnsi="Book Antiqua" w:cs="Book Antiqua"/>
        </w:rPr>
        <w:t xml:space="preserve"> appui dans la préparation, la négociation et le suivi des contrats de partenariat</w:t>
      </w:r>
      <w:r>
        <w:rPr>
          <w:rFonts w:ascii="Book Antiqua" w:hAnsi="Book Antiqua" w:cs="Book Antiqua"/>
        </w:rPr>
        <w:t xml:space="preserve"> mais également de valider les évaluations préalables des contrats conclus par l’État et, à leur demande, par les collectivités territoriales.</w:t>
      </w:r>
    </w:p>
    <w:p w:rsidR="009E38A9" w:rsidRDefault="009E38A9" w:rsidP="00202AB0">
      <w:pPr>
        <w:pStyle w:val="TexteChapitre"/>
        <w:keepLines/>
        <w:widowControl w:val="0"/>
        <w:spacing w:after="60"/>
        <w:rPr>
          <w:rFonts w:ascii="Book Antiqua" w:hAnsi="Book Antiqua" w:cs="Book Antiqua"/>
        </w:rPr>
      </w:pPr>
      <w:r>
        <w:rPr>
          <w:rFonts w:ascii="Book Antiqua" w:hAnsi="Book Antiqua" w:cs="Book Antiqua"/>
        </w:rPr>
        <w:t>Ce cumul des fonctions de promotion et d’évaluation suscite des interrogations sur le parti pris favorable de la Mappp en faveur de ces contrats. La structure est placée dans une situation potentielle de conflit d’intérêts.</w:t>
      </w:r>
    </w:p>
    <w:p w:rsidR="009E38A9" w:rsidRDefault="009E38A9" w:rsidP="00202AB0">
      <w:pPr>
        <w:pStyle w:val="TexteChapitre"/>
        <w:widowControl w:val="0"/>
        <w:spacing w:after="60"/>
        <w:rPr>
          <w:rFonts w:ascii="Book Antiqua" w:hAnsi="Book Antiqua" w:cs="Book Antiqua"/>
        </w:rPr>
      </w:pPr>
      <w:r>
        <w:rPr>
          <w:rFonts w:ascii="Book Antiqua" w:hAnsi="Book Antiqua" w:cs="Book Antiqua"/>
        </w:rPr>
        <w:t>Par ailleurs, l’évaluation préalable, rendue obligatoire avant la conclusion de tout contrat de partenariat, devait</w:t>
      </w:r>
      <w:r w:rsidRPr="009D71E5">
        <w:rPr>
          <w:rFonts w:ascii="Book Antiqua" w:hAnsi="Book Antiqua" w:cs="Book Antiqua"/>
        </w:rPr>
        <w:t xml:space="preserve"> apporter un gain en termes de transparence et d’objectivation de la décision publique.</w:t>
      </w:r>
      <w:r>
        <w:rPr>
          <w:rFonts w:ascii="Book Antiqua" w:hAnsi="Book Antiqua" w:cs="Book Antiqua"/>
        </w:rPr>
        <w:t xml:space="preserve"> </w:t>
      </w:r>
    </w:p>
    <w:p w:rsidR="009E38A9" w:rsidRDefault="009E38A9" w:rsidP="00202AB0">
      <w:pPr>
        <w:pStyle w:val="TexteChapitre"/>
        <w:widowControl w:val="0"/>
        <w:spacing w:after="60"/>
        <w:rPr>
          <w:rFonts w:ascii="Book Antiqua" w:hAnsi="Book Antiqua" w:cs="Book Antiqua"/>
        </w:rPr>
      </w:pPr>
      <w:r>
        <w:rPr>
          <w:rFonts w:ascii="Book Antiqua" w:hAnsi="Book Antiqua" w:cs="Book Antiqua"/>
        </w:rPr>
        <w:t xml:space="preserve">L’expérience tend pourtant à démontrer que l’évaluation préalable ne constitue pas un véritable outil d’aide à la décision mais plus souvent une justification </w:t>
      </w:r>
      <w:r w:rsidRPr="009D71E5">
        <w:rPr>
          <w:rFonts w:ascii="Book Antiqua" w:hAnsi="Book Antiqua" w:cs="Book Antiqua"/>
          <w:i/>
          <w:iCs/>
        </w:rPr>
        <w:t>a posteriori</w:t>
      </w:r>
      <w:r>
        <w:rPr>
          <w:rFonts w:ascii="Book Antiqua" w:hAnsi="Book Antiqua" w:cs="Book Antiqua"/>
        </w:rPr>
        <w:t xml:space="preserve"> du choix préalable de recourir à un contrat de partenariat.</w:t>
      </w:r>
    </w:p>
    <w:p w:rsidR="009E38A9" w:rsidRDefault="009E38A9" w:rsidP="00202AB0">
      <w:pPr>
        <w:pStyle w:val="TexteChapitre"/>
        <w:widowControl w:val="0"/>
        <w:spacing w:after="60"/>
        <w:rPr>
          <w:rFonts w:ascii="Book Antiqua" w:hAnsi="Book Antiqua" w:cs="Book Antiqua"/>
        </w:rPr>
      </w:pPr>
      <w:r>
        <w:rPr>
          <w:rFonts w:ascii="Book Antiqua" w:hAnsi="Book Antiqua" w:cs="Book Antiqua"/>
        </w:rPr>
        <w:t xml:space="preserve">La Cour des comptes et l’inspection générale des finances ont soulevé plusieurs réserves méthodologiques sur les comparaisons entre les scenarii retenus par l’évaluation préalable : la faible qualité des indicateurs et les biais, notamment en défaveur de la maîtrise d’ouvrage publique, conduisent généralement à favoriser les contrats de partenariat. </w:t>
      </w:r>
    </w:p>
    <w:p w:rsidR="009E38A9" w:rsidRDefault="009E38A9" w:rsidP="00202AB0">
      <w:pPr>
        <w:pStyle w:val="TexteChapitre"/>
        <w:keepNext/>
        <w:widowControl w:val="0"/>
        <w:spacing w:before="60" w:after="60"/>
        <w:rPr>
          <w:rFonts w:ascii="Book Antiqua" w:hAnsi="Book Antiqua" w:cs="Book Antiqua"/>
          <w:b/>
          <w:bCs/>
          <w:color w:val="C8092B"/>
        </w:rPr>
      </w:pPr>
      <w:r w:rsidRPr="00012998">
        <w:rPr>
          <w:rFonts w:ascii="Book Antiqua" w:hAnsi="Book Antiqua" w:cs="Book Antiqua"/>
          <w:b/>
          <w:bCs/>
          <w:i/>
          <w:iCs/>
          <w:color w:val="C8092B"/>
          <w:sz w:val="20"/>
          <w:szCs w:val="20"/>
        </w:rPr>
        <w:t>■</w:t>
      </w:r>
      <w:r w:rsidRPr="00012998">
        <w:rPr>
          <w:rFonts w:ascii="Book Antiqua" w:hAnsi="Book Antiqua" w:cs="Book Antiqua"/>
        </w:rPr>
        <w:tab/>
      </w:r>
      <w:r>
        <w:rPr>
          <w:rFonts w:ascii="Book Antiqua" w:hAnsi="Book Antiqua" w:cs="Book Antiqua"/>
          <w:b/>
          <w:bCs/>
          <w:color w:val="C8092B"/>
        </w:rPr>
        <w:t xml:space="preserve">Une formule </w:t>
      </w:r>
      <w:r w:rsidRPr="00C42222">
        <w:rPr>
          <w:rFonts w:ascii="Book Antiqua" w:hAnsi="Book Antiqua" w:cs="Book Antiqua"/>
          <w:b/>
          <w:bCs/>
          <w:i/>
          <w:iCs/>
          <w:color w:val="C8092B"/>
        </w:rPr>
        <w:t>a priori</w:t>
      </w:r>
      <w:r>
        <w:rPr>
          <w:rFonts w:ascii="Book Antiqua" w:hAnsi="Book Antiqua" w:cs="Book Antiqua"/>
          <w:b/>
          <w:bCs/>
          <w:color w:val="C8092B"/>
        </w:rPr>
        <w:t xml:space="preserve"> séduisante mais souvent fallacieuse pour la personne publique</w:t>
      </w:r>
    </w:p>
    <w:p w:rsidR="009E38A9" w:rsidRPr="00012998" w:rsidRDefault="009E38A9" w:rsidP="00202AB0">
      <w:pPr>
        <w:pStyle w:val="TexteChapitre"/>
        <w:keepNext/>
        <w:widowControl w:val="0"/>
        <w:spacing w:before="60" w:after="60"/>
        <w:rPr>
          <w:rFonts w:ascii="Book Antiqua" w:hAnsi="Book Antiqua" w:cs="Book Antiqua"/>
        </w:rPr>
      </w:pPr>
      <w:r>
        <w:rPr>
          <w:rFonts w:ascii="Book Antiqua" w:hAnsi="Book Antiqua" w:cs="Book Antiqua"/>
        </w:rPr>
        <w:t>Le contrat de partenariat peut présenter plusieurs avantages pour la personne publique qui en conclut.</w:t>
      </w:r>
    </w:p>
    <w:p w:rsidR="009E38A9" w:rsidRDefault="009E38A9" w:rsidP="00202AB0">
      <w:pPr>
        <w:pStyle w:val="TexteChapitre"/>
        <w:widowControl w:val="0"/>
        <w:spacing w:after="60"/>
        <w:rPr>
          <w:rFonts w:ascii="Book Antiqua" w:hAnsi="Book Antiqua" w:cs="Book Antiqua"/>
        </w:rPr>
      </w:pPr>
      <w:r>
        <w:rPr>
          <w:rFonts w:ascii="Book Antiqua" w:hAnsi="Book Antiqua" w:cs="Book Antiqua"/>
        </w:rPr>
        <w:t>Contrat global, il permet à la personne publique de n’avoir qu’un seul interlocuteur pour son exécution, gage de simplicité pour elle. Ce caractère global est censé également permettre une meilleure maîtrise des délais d’exécution et des économies pour la personne publique par une association de la conception et de la réalisation : le projet est ainsi conçu, dès l’origine, dans la perspective de son exploitation et de son entretien. Enfin, les coûts sont prévisibles dès la conclusion du contrat et le partage des risques mieux assuré.</w:t>
      </w:r>
    </w:p>
    <w:p w:rsidR="009E38A9" w:rsidRDefault="009E38A9" w:rsidP="00202AB0">
      <w:pPr>
        <w:pStyle w:val="TexteChapitre"/>
        <w:widowControl w:val="0"/>
        <w:spacing w:after="60"/>
        <w:rPr>
          <w:rFonts w:ascii="Book Antiqua" w:hAnsi="Book Antiqua" w:cs="Book Antiqua"/>
        </w:rPr>
      </w:pPr>
      <w:r>
        <w:rPr>
          <w:rFonts w:ascii="Book Antiqua" w:hAnsi="Book Antiqua" w:cs="Book Antiqua"/>
        </w:rPr>
        <w:t>En outre, il</w:t>
      </w:r>
      <w:r w:rsidRPr="00CF326E">
        <w:rPr>
          <w:rFonts w:ascii="Book Antiqua" w:hAnsi="Book Antiqua" w:cs="Book Antiqua"/>
        </w:rPr>
        <w:t xml:space="preserve"> permet un étalement dans le temps de la dépense d’investissement, </w:t>
      </w:r>
      <w:r>
        <w:rPr>
          <w:rFonts w:ascii="Book Antiqua" w:hAnsi="Book Antiqua" w:cs="Book Antiqua"/>
        </w:rPr>
        <w:t>permettant ainsi d’accélérer</w:t>
      </w:r>
      <w:r w:rsidRPr="00CF326E">
        <w:rPr>
          <w:rFonts w:ascii="Book Antiqua" w:hAnsi="Book Antiqua" w:cs="Book Antiqua"/>
        </w:rPr>
        <w:t xml:space="preserve"> la réalisation d’investissements publics et de bénéficier d’effets d’échelle ou de série sur les coûts de réalisation.</w:t>
      </w:r>
    </w:p>
    <w:p w:rsidR="009E38A9" w:rsidRDefault="009E38A9" w:rsidP="00202AB0">
      <w:pPr>
        <w:pStyle w:val="TexteChapitre"/>
        <w:keepNext/>
        <w:keepLines/>
        <w:widowControl w:val="0"/>
        <w:tabs>
          <w:tab w:val="left" w:pos="284"/>
        </w:tabs>
        <w:spacing w:before="60" w:after="60"/>
        <w:rPr>
          <w:rFonts w:ascii="Book Antiqua" w:hAnsi="Book Antiqua" w:cs="Book Antiqua"/>
          <w:b/>
          <w:bCs/>
          <w:color w:val="C8092B"/>
        </w:rPr>
      </w:pPr>
      <w:r w:rsidRPr="00012998">
        <w:rPr>
          <w:rFonts w:ascii="Book Antiqua" w:hAnsi="Book Antiqua" w:cs="Book Antiqua"/>
          <w:b/>
          <w:bCs/>
          <w:i/>
          <w:iCs/>
          <w:color w:val="C8092B"/>
          <w:sz w:val="20"/>
          <w:szCs w:val="20"/>
        </w:rPr>
        <w:t>■</w:t>
      </w:r>
      <w:r w:rsidRPr="00012998">
        <w:rPr>
          <w:rFonts w:ascii="Book Antiqua" w:hAnsi="Book Antiqua" w:cs="Book Antiqua"/>
        </w:rPr>
        <w:tab/>
      </w:r>
      <w:r>
        <w:rPr>
          <w:rFonts w:ascii="Book Antiqua" w:hAnsi="Book Antiqua" w:cs="Book Antiqua"/>
          <w:b/>
          <w:bCs/>
          <w:color w:val="C8092B"/>
        </w:rPr>
        <w:t>Un outil à haut risque pour la puissance publique</w:t>
      </w:r>
    </w:p>
    <w:p w:rsidR="009E38A9" w:rsidRDefault="009E38A9" w:rsidP="00202AB0">
      <w:pPr>
        <w:pStyle w:val="TexteChapitre"/>
        <w:keepNext/>
        <w:keepLines/>
        <w:widowControl w:val="0"/>
        <w:tabs>
          <w:tab w:val="left" w:pos="284"/>
        </w:tabs>
        <w:spacing w:after="60"/>
        <w:rPr>
          <w:rFonts w:ascii="Book Antiqua" w:hAnsi="Book Antiqua" w:cs="Book Antiqua"/>
        </w:rPr>
      </w:pPr>
      <w:r>
        <w:rPr>
          <w:rFonts w:ascii="Book Antiqua" w:hAnsi="Book Antiqua" w:cs="Book Antiqua"/>
        </w:rPr>
        <w:t xml:space="preserve">Le contrat de partenariat présente plusieurs effets néfastes, notamment pour les générations futures. </w:t>
      </w:r>
    </w:p>
    <w:p w:rsidR="009E38A9" w:rsidRDefault="009E38A9" w:rsidP="00202AB0">
      <w:pPr>
        <w:pStyle w:val="TexteChapitre"/>
        <w:widowControl w:val="0"/>
        <w:tabs>
          <w:tab w:val="left" w:pos="284"/>
        </w:tabs>
        <w:spacing w:after="60"/>
        <w:rPr>
          <w:rFonts w:ascii="Book Antiqua" w:hAnsi="Book Antiqua" w:cs="Book Antiqua"/>
        </w:rPr>
      </w:pPr>
      <w:r>
        <w:rPr>
          <w:rFonts w:ascii="Book Antiqua" w:hAnsi="Book Antiqua" w:cs="Book Antiqua"/>
        </w:rPr>
        <w:t xml:space="preserve">Sur le plan financier, le contrat de partenariat est une bombe à retardement budgétaire souvent ignorée par des arbitrages de court terme. </w:t>
      </w:r>
    </w:p>
    <w:p w:rsidR="009E38A9" w:rsidRDefault="009E38A9" w:rsidP="00202AB0">
      <w:pPr>
        <w:pStyle w:val="TexteChapitre"/>
        <w:widowControl w:val="0"/>
        <w:tabs>
          <w:tab w:val="left" w:pos="284"/>
        </w:tabs>
        <w:spacing w:after="60"/>
        <w:rPr>
          <w:rFonts w:ascii="Book Antiqua" w:hAnsi="Book Antiqua" w:cs="Book Antiqua"/>
        </w:rPr>
      </w:pPr>
      <w:r>
        <w:rPr>
          <w:rFonts w:ascii="Book Antiqua" w:hAnsi="Book Antiqua" w:cs="Book Antiqua"/>
        </w:rPr>
        <w:t xml:space="preserve"> </w:t>
      </w:r>
      <w:r w:rsidRPr="00A25351">
        <w:rPr>
          <w:rFonts w:ascii="Book Antiqua" w:hAnsi="Book Antiqua" w:cs="Book Antiqua"/>
        </w:rPr>
        <w:t xml:space="preserve">Le </w:t>
      </w:r>
      <w:r>
        <w:rPr>
          <w:rFonts w:ascii="Book Antiqua" w:hAnsi="Book Antiqua" w:cs="Book Antiqua"/>
        </w:rPr>
        <w:t>contrat de partenariat</w:t>
      </w:r>
      <w:r w:rsidRPr="00A25351">
        <w:rPr>
          <w:rFonts w:ascii="Book Antiqua" w:hAnsi="Book Antiqua" w:cs="Book Antiqua"/>
        </w:rPr>
        <w:t xml:space="preserve"> </w:t>
      </w:r>
      <w:r>
        <w:rPr>
          <w:rFonts w:ascii="Book Antiqua" w:hAnsi="Book Antiqua" w:cs="Book Antiqua"/>
        </w:rPr>
        <w:t>r</w:t>
      </w:r>
      <w:r w:rsidRPr="00A25351">
        <w:rPr>
          <w:rFonts w:ascii="Book Antiqua" w:hAnsi="Book Antiqua" w:cs="Book Antiqua"/>
        </w:rPr>
        <w:t>igidifi</w:t>
      </w:r>
      <w:r>
        <w:rPr>
          <w:rFonts w:ascii="Book Antiqua" w:hAnsi="Book Antiqua" w:cs="Book Antiqua"/>
        </w:rPr>
        <w:t xml:space="preserve">e la dépense publique car les loyers sont des dépenses obligatoires pour la personne publique, ce qui provoque un </w:t>
      </w:r>
      <w:r w:rsidRPr="00A25351">
        <w:rPr>
          <w:rFonts w:ascii="Book Antiqua" w:hAnsi="Book Antiqua" w:cs="Book Antiqua"/>
        </w:rPr>
        <w:t>effet d’éviction sur les autres dépenses de fonctionnement</w:t>
      </w:r>
      <w:r>
        <w:rPr>
          <w:rFonts w:ascii="Book Antiqua" w:hAnsi="Book Antiqua" w:cs="Book Antiqua"/>
        </w:rPr>
        <w:t>, parfois pour des projets en maîtrise d’ouvrage publique</w:t>
      </w:r>
      <w:r w:rsidRPr="00A25351">
        <w:rPr>
          <w:rFonts w:ascii="Book Antiqua" w:hAnsi="Book Antiqua" w:cs="Book Antiqua"/>
        </w:rPr>
        <w:t>.</w:t>
      </w:r>
      <w:r>
        <w:rPr>
          <w:rFonts w:ascii="Book Antiqua" w:hAnsi="Book Antiqua" w:cs="Book Antiqua"/>
        </w:rPr>
        <w:t xml:space="preserve"> De même, le paiement différé est une facilité pour la personne publique qui peut la conduire à surestimer ses capacités d’investissement. De surcroît, au gré de l’exécution du contrat, le coût final du projet peut évoluer, malgré l’évaluation préalable. </w:t>
      </w:r>
    </w:p>
    <w:p w:rsidR="009E38A9" w:rsidRDefault="009E38A9" w:rsidP="00202AB0">
      <w:pPr>
        <w:pStyle w:val="TexteChapitre"/>
        <w:widowControl w:val="0"/>
        <w:tabs>
          <w:tab w:val="left" w:pos="284"/>
        </w:tabs>
        <w:spacing w:after="60"/>
        <w:rPr>
          <w:rFonts w:ascii="Book Antiqua" w:hAnsi="Book Antiqua" w:cs="Book Antiqua"/>
        </w:rPr>
      </w:pPr>
      <w:r>
        <w:rPr>
          <w:rFonts w:ascii="Book Antiqua" w:hAnsi="Book Antiqua" w:cs="Book Antiqua"/>
        </w:rPr>
        <w:t>En outre, le contrat de partenariat n’est pas forcément adapté aux projets en cour, comme le montre le plan Campus.</w:t>
      </w:r>
    </w:p>
    <w:p w:rsidR="009E38A9" w:rsidRDefault="009E38A9" w:rsidP="00202AB0">
      <w:pPr>
        <w:pStyle w:val="TexteChapitre"/>
        <w:widowControl w:val="0"/>
        <w:tabs>
          <w:tab w:val="left" w:pos="284"/>
        </w:tabs>
        <w:spacing w:after="60"/>
        <w:rPr>
          <w:rFonts w:ascii="Book Antiqua" w:hAnsi="Book Antiqua" w:cs="Book Antiqua"/>
        </w:rPr>
      </w:pPr>
      <w:r>
        <w:rPr>
          <w:rFonts w:ascii="Book Antiqua" w:hAnsi="Book Antiqua" w:cs="Book Antiqua"/>
        </w:rPr>
        <w:t>Enfin, l</w:t>
      </w:r>
      <w:r w:rsidRPr="00E75539">
        <w:rPr>
          <w:rFonts w:ascii="Book Antiqua" w:hAnsi="Book Antiqua" w:cs="Book Antiqua"/>
        </w:rPr>
        <w:t>es collectivités territoriales, en particulier les plus modestes d’entre elles, ne disposent pas des ressources internes suffisantes pour négocier avec des grands groupes disposant d</w:t>
      </w:r>
      <w:r>
        <w:rPr>
          <w:rFonts w:ascii="Book Antiqua" w:hAnsi="Book Antiqua" w:cs="Book Antiqua"/>
        </w:rPr>
        <w:t>e l’appui de plusieurs conseils : la situation est asymétrique. Ce risque est d’autant plus préoccupant que les personnes publiques développent un « syndrome d’addiction » : il est difficile d’écarter ce type de contrats pour les projets suivants car la personne publique perd progressivement les capacités internes pour assurer la maitrise d’ouvrage publique.</w:t>
      </w:r>
    </w:p>
    <w:p w:rsidR="009E38A9" w:rsidRDefault="009E38A9" w:rsidP="00202AB0">
      <w:pPr>
        <w:pStyle w:val="TexteChapitre"/>
        <w:keepNext/>
        <w:keepLines/>
        <w:widowControl w:val="0"/>
        <w:tabs>
          <w:tab w:val="left" w:pos="284"/>
        </w:tabs>
        <w:spacing w:before="60" w:after="60"/>
        <w:rPr>
          <w:rFonts w:ascii="Book Antiqua" w:hAnsi="Book Antiqua" w:cs="Book Antiqua"/>
          <w:b/>
          <w:bCs/>
          <w:color w:val="C8092B"/>
        </w:rPr>
      </w:pPr>
      <w:r w:rsidRPr="00012998">
        <w:rPr>
          <w:rFonts w:ascii="Book Antiqua" w:hAnsi="Book Antiqua" w:cs="Book Antiqua"/>
          <w:b/>
          <w:bCs/>
          <w:i/>
          <w:iCs/>
          <w:color w:val="C8092B"/>
          <w:sz w:val="20"/>
          <w:szCs w:val="20"/>
        </w:rPr>
        <w:t>■</w:t>
      </w:r>
      <w:r w:rsidRPr="00012998">
        <w:rPr>
          <w:rFonts w:ascii="Book Antiqua" w:hAnsi="Book Antiqua" w:cs="Book Antiqua"/>
        </w:rPr>
        <w:tab/>
      </w:r>
      <w:r>
        <w:rPr>
          <w:rFonts w:ascii="Book Antiqua" w:hAnsi="Book Antiqua" w:cs="Book Antiqua"/>
          <w:b/>
          <w:bCs/>
          <w:color w:val="C8092B"/>
        </w:rPr>
        <w:t>Un effet d’éviction des PME-TPE</w:t>
      </w:r>
    </w:p>
    <w:p w:rsidR="009E38A9" w:rsidRDefault="009E38A9" w:rsidP="00202AB0">
      <w:pPr>
        <w:pStyle w:val="TexteChapitre"/>
        <w:keepNext/>
        <w:keepLines/>
        <w:widowControl w:val="0"/>
        <w:tabs>
          <w:tab w:val="left" w:pos="284"/>
        </w:tabs>
        <w:spacing w:after="60"/>
        <w:rPr>
          <w:rFonts w:ascii="Book Antiqua" w:hAnsi="Book Antiqua" w:cs="Book Antiqua"/>
        </w:rPr>
      </w:pPr>
      <w:r>
        <w:rPr>
          <w:rFonts w:ascii="Book Antiqua" w:hAnsi="Book Antiqua" w:cs="Book Antiqua"/>
        </w:rPr>
        <w:t xml:space="preserve">Les contrats de partenariat sont conclus essentiellement avec des grands groupes (Bouygues, Eiffage, Vinci). </w:t>
      </w:r>
      <w:r w:rsidRPr="005F1D36">
        <w:rPr>
          <w:rFonts w:ascii="Book Antiqua" w:hAnsi="Book Antiqua" w:cs="Book Antiqua"/>
        </w:rPr>
        <w:t>Les PME et TPE ont un accès très difficile aux contrats de partenariat, même de taille réduite.</w:t>
      </w:r>
      <w:r>
        <w:rPr>
          <w:rFonts w:ascii="Book Antiqua" w:hAnsi="Book Antiqua" w:cs="Book Antiqua"/>
        </w:rPr>
        <w:t xml:space="preserve"> Elles sont alors reléguées à la « sous-traitance » du contrat de partenariat, sans bénéficier cependant des mêmes garanties que dans le cas d’un marché public classique.</w:t>
      </w:r>
    </w:p>
    <w:p w:rsidR="009E38A9" w:rsidRDefault="009E38A9" w:rsidP="00E03F01">
      <w:pPr>
        <w:pStyle w:val="TexteChapitre"/>
        <w:widowControl w:val="0"/>
        <w:spacing w:after="60"/>
        <w:rPr>
          <w:rFonts w:ascii="Book Antiqua" w:hAnsi="Book Antiqua" w:cs="Book Antiqua"/>
        </w:rPr>
      </w:pPr>
    </w:p>
    <w:p w:rsidR="009E38A9" w:rsidRDefault="009E38A9" w:rsidP="00E03F01">
      <w:pPr>
        <w:pStyle w:val="TexteChapitre"/>
        <w:widowControl w:val="0"/>
        <w:spacing w:after="60"/>
        <w:rPr>
          <w:rFonts w:ascii="Book Antiqua" w:hAnsi="Book Antiqua" w:cs="Book Antiqua"/>
        </w:rPr>
      </w:pPr>
    </w:p>
    <w:p w:rsidR="009E38A9" w:rsidRDefault="009E38A9" w:rsidP="00E03F01">
      <w:pPr>
        <w:pStyle w:val="TexteChapitre"/>
        <w:widowControl w:val="0"/>
        <w:spacing w:after="60"/>
        <w:rPr>
          <w:rFonts w:ascii="Book Antiqua" w:hAnsi="Book Antiqua" w:cs="Book Antiqua"/>
        </w:rPr>
      </w:pPr>
    </w:p>
    <w:p w:rsidR="009E38A9" w:rsidRPr="00E03F01" w:rsidRDefault="009E38A9" w:rsidP="00E03F01">
      <w:pPr>
        <w:pStyle w:val="TexteChapitre"/>
        <w:widowControl w:val="0"/>
        <w:spacing w:after="60"/>
        <w:rPr>
          <w:rFonts w:ascii="Book Antiqua" w:hAnsi="Book Antiqua" w:cs="Book Antiqua"/>
        </w:rPr>
        <w:sectPr w:rsidR="009E38A9" w:rsidRPr="00E03F01" w:rsidSect="00202AB0">
          <w:type w:val="continuous"/>
          <w:pgSz w:w="11906" w:h="16838" w:code="9"/>
          <w:pgMar w:top="1207" w:right="1133" w:bottom="902" w:left="1134" w:header="709" w:footer="301" w:gutter="0"/>
          <w:cols w:num="2" w:space="283"/>
          <w:titlePg/>
          <w:docGrid w:linePitch="360"/>
        </w:sectPr>
      </w:pPr>
    </w:p>
    <w:p w:rsidR="009E38A9" w:rsidRPr="00EE4E95" w:rsidRDefault="009E38A9" w:rsidP="0094630F">
      <w:pPr>
        <w:pStyle w:val="TexteChapitre"/>
        <w:widowControl w:val="0"/>
        <w:spacing w:after="0"/>
        <w:rPr>
          <w:rFonts w:ascii="Book Antiqua" w:hAnsi="Book Antiqua" w:cs="Book Antiqua"/>
          <w:sz w:val="10"/>
          <w:szCs w:val="10"/>
          <w:highlight w:val="yellow"/>
        </w:rPr>
        <w:sectPr w:rsidR="009E38A9" w:rsidRPr="00EE4E95" w:rsidSect="000D336C">
          <w:type w:val="continuous"/>
          <w:pgSz w:w="11906" w:h="16838" w:code="9"/>
          <w:pgMar w:top="1207" w:right="1133" w:bottom="902" w:left="1418" w:header="709" w:footer="301" w:gutter="0"/>
          <w:cols w:num="2" w:space="282"/>
          <w:titlePg/>
          <w:docGrid w:linePitch="360"/>
        </w:sectPr>
      </w:pPr>
    </w:p>
    <w:tbl>
      <w:tblPr>
        <w:tblW w:w="0" w:type="auto"/>
        <w:tblInd w:w="108" w:type="dxa"/>
        <w:tblLook w:val="00A0"/>
      </w:tblPr>
      <w:tblGrid>
        <w:gridCol w:w="9102"/>
      </w:tblGrid>
      <w:tr w:rsidR="009E38A9" w:rsidRPr="00EE4E95">
        <w:trPr>
          <w:trHeight w:val="284"/>
        </w:trPr>
        <w:tc>
          <w:tcPr>
            <w:tcW w:w="9102" w:type="dxa"/>
            <w:shd w:val="clear" w:color="auto" w:fill="C00000"/>
          </w:tcPr>
          <w:p w:rsidR="009E38A9" w:rsidRPr="00EE4E95" w:rsidRDefault="009E38A9" w:rsidP="00AC0567">
            <w:pPr>
              <w:widowControl w:val="0"/>
              <w:spacing w:before="60" w:after="60"/>
              <w:jc w:val="center"/>
              <w:rPr>
                <w:rFonts w:ascii="Book Antiqua" w:hAnsi="Book Antiqua" w:cs="Book Antiqua"/>
                <w:b/>
                <w:bCs/>
                <w:highlight w:val="yellow"/>
              </w:rPr>
            </w:pPr>
            <w:r w:rsidRPr="00313D73">
              <w:rPr>
                <w:rFonts w:ascii="Book Antiqua" w:hAnsi="Book Antiqua" w:cs="Book Antiqua"/>
                <w:b/>
                <w:bCs/>
              </w:rPr>
              <w:t>LES PRINCIPALES PROPOSITIONS DES RAPPORTEURS</w:t>
            </w:r>
          </w:p>
        </w:tc>
      </w:tr>
    </w:tbl>
    <w:p w:rsidR="009E38A9" w:rsidRPr="00EE4E95" w:rsidRDefault="009E38A9" w:rsidP="00D61411">
      <w:pPr>
        <w:pStyle w:val="TexteChapitre"/>
        <w:widowControl w:val="0"/>
        <w:spacing w:before="480"/>
        <w:rPr>
          <w:rFonts w:ascii="Book Antiqua" w:hAnsi="Book Antiqua" w:cs="Book Antiqua"/>
          <w:highlight w:val="yellow"/>
        </w:rPr>
        <w:sectPr w:rsidR="009E38A9" w:rsidRPr="00EE4E95" w:rsidSect="005016C0">
          <w:type w:val="continuous"/>
          <w:pgSz w:w="11906" w:h="16838" w:code="9"/>
          <w:pgMar w:top="1276" w:right="1418" w:bottom="902" w:left="1418" w:header="709" w:footer="301" w:gutter="0"/>
          <w:cols w:space="386"/>
          <w:titlePg/>
          <w:docGrid w:linePitch="360"/>
        </w:sectPr>
      </w:pPr>
    </w:p>
    <w:p w:rsidR="009E38A9" w:rsidRPr="00EE4E95" w:rsidRDefault="009E38A9" w:rsidP="00D61411">
      <w:pPr>
        <w:pStyle w:val="TexteChapitre"/>
        <w:widowControl w:val="0"/>
        <w:spacing w:after="0"/>
        <w:rPr>
          <w:rFonts w:ascii="Book Antiqua" w:hAnsi="Book Antiqua" w:cs="Book Antiqua"/>
          <w:b/>
          <w:bCs/>
          <w:i/>
          <w:iCs/>
          <w:color w:val="C8092B"/>
          <w:sz w:val="2"/>
          <w:szCs w:val="2"/>
          <w:highlight w:val="yellow"/>
        </w:rPr>
      </w:pPr>
    </w:p>
    <w:p w:rsidR="009E38A9" w:rsidRPr="00EE4E95" w:rsidRDefault="009E38A9" w:rsidP="00D61411">
      <w:pPr>
        <w:pStyle w:val="TexteChapitre"/>
        <w:widowControl w:val="0"/>
        <w:spacing w:after="0"/>
        <w:ind w:left="181" w:hanging="181"/>
        <w:rPr>
          <w:rFonts w:ascii="Book Antiqua" w:hAnsi="Book Antiqua" w:cs="Book Antiqua"/>
          <w:b/>
          <w:bCs/>
          <w:color w:val="C8092B"/>
          <w:sz w:val="20"/>
          <w:szCs w:val="20"/>
          <w:highlight w:val="yellow"/>
        </w:rPr>
        <w:sectPr w:rsidR="009E38A9" w:rsidRPr="00EE4E95" w:rsidSect="007C12DB">
          <w:headerReference w:type="even" r:id="rId14"/>
          <w:headerReference w:type="default" r:id="rId15"/>
          <w:type w:val="continuous"/>
          <w:pgSz w:w="11906" w:h="16838" w:code="9"/>
          <w:pgMar w:top="1418" w:right="1418" w:bottom="902" w:left="1418" w:header="709" w:footer="299" w:gutter="0"/>
          <w:cols w:num="2" w:space="386"/>
          <w:titlePg/>
          <w:docGrid w:linePitch="360"/>
        </w:sectPr>
      </w:pPr>
    </w:p>
    <w:p w:rsidR="009E38A9" w:rsidRPr="005016C0" w:rsidRDefault="009E38A9" w:rsidP="0015570D">
      <w:pPr>
        <w:pStyle w:val="TexteChapitre"/>
        <w:widowControl w:val="0"/>
        <w:spacing w:before="120" w:after="200"/>
        <w:ind w:hanging="181"/>
        <w:jc w:val="center"/>
        <w:rPr>
          <w:rFonts w:ascii="Book Antiqua" w:hAnsi="Book Antiqua" w:cs="Book Antiqua"/>
          <w:b/>
          <w:bCs/>
          <w:color w:val="C8092B"/>
          <w:sz w:val="20"/>
          <w:szCs w:val="20"/>
        </w:rPr>
      </w:pPr>
      <w:r w:rsidRPr="005016C0">
        <w:rPr>
          <w:rFonts w:ascii="Book Antiqua" w:hAnsi="Book Antiqua" w:cs="Book Antiqua"/>
          <w:b/>
          <w:bCs/>
          <w:color w:val="C8092B"/>
          <w:sz w:val="20"/>
          <w:szCs w:val="20"/>
        </w:rPr>
        <w:t>■</w:t>
      </w:r>
      <w:r w:rsidRPr="005016C0">
        <w:rPr>
          <w:rFonts w:ascii="Book Antiqua" w:hAnsi="Book Antiqua" w:cs="Book Antiqua"/>
          <w:b/>
          <w:bCs/>
          <w:color w:val="C8092B"/>
          <w:sz w:val="20"/>
          <w:szCs w:val="20"/>
        </w:rPr>
        <w:tab/>
      </w:r>
      <w:r w:rsidRPr="005016C0">
        <w:rPr>
          <w:rFonts w:ascii="Book Antiqua" w:hAnsi="Book Antiqua" w:cs="Book Antiqua"/>
          <w:b/>
          <w:bCs/>
          <w:color w:val="C8092B"/>
          <w:sz w:val="20"/>
          <w:szCs w:val="20"/>
          <w:u w:val="single"/>
        </w:rPr>
        <w:t>Préciser les critères de recours à un contrat de partenariat</w:t>
      </w:r>
    </w:p>
    <w:p w:rsidR="009E38A9" w:rsidRPr="005016C0" w:rsidRDefault="009E38A9" w:rsidP="00C42222">
      <w:pPr>
        <w:widowControl w:val="0"/>
        <w:numPr>
          <w:ilvl w:val="0"/>
          <w:numId w:val="16"/>
        </w:numPr>
        <w:overflowPunct w:val="0"/>
        <w:autoSpaceDE w:val="0"/>
        <w:autoSpaceDN w:val="0"/>
        <w:adjustRightInd w:val="0"/>
        <w:spacing w:line="240" w:lineRule="atLeast"/>
        <w:ind w:right="59"/>
        <w:jc w:val="both"/>
        <w:textAlignment w:val="baseline"/>
        <w:rPr>
          <w:rStyle w:val="Gras"/>
          <w:rFonts w:ascii="Book Antiqua" w:hAnsi="Book Antiqua" w:cs="Book Antiqua"/>
          <w:b w:val="0"/>
          <w:bCs w:val="0"/>
        </w:rPr>
      </w:pPr>
      <w:r w:rsidRPr="005016C0">
        <w:rPr>
          <w:rStyle w:val="Gras"/>
          <w:rFonts w:ascii="Book Antiqua" w:hAnsi="Book Antiqua" w:cs="Book Antiqua"/>
          <w:b w:val="0"/>
          <w:bCs w:val="0"/>
        </w:rPr>
        <w:t>Préciser la définition du critère de complexité.</w:t>
      </w:r>
    </w:p>
    <w:p w:rsidR="009E38A9" w:rsidRPr="005016C0" w:rsidRDefault="009E38A9" w:rsidP="00C42222">
      <w:pPr>
        <w:widowControl w:val="0"/>
        <w:numPr>
          <w:ilvl w:val="0"/>
          <w:numId w:val="16"/>
        </w:numPr>
        <w:overflowPunct w:val="0"/>
        <w:autoSpaceDE w:val="0"/>
        <w:autoSpaceDN w:val="0"/>
        <w:adjustRightInd w:val="0"/>
        <w:spacing w:line="240" w:lineRule="atLeast"/>
        <w:ind w:right="59"/>
        <w:jc w:val="both"/>
        <w:textAlignment w:val="baseline"/>
        <w:rPr>
          <w:rStyle w:val="Gras"/>
          <w:rFonts w:ascii="Book Antiqua" w:hAnsi="Book Antiqua" w:cs="Book Antiqua"/>
          <w:b w:val="0"/>
          <w:bCs w:val="0"/>
        </w:rPr>
      </w:pPr>
      <w:r w:rsidRPr="005016C0">
        <w:rPr>
          <w:rStyle w:val="Gras"/>
          <w:rFonts w:ascii="Book Antiqua" w:hAnsi="Book Antiqua" w:cs="Book Antiqua"/>
          <w:b w:val="0"/>
          <w:bCs w:val="0"/>
        </w:rPr>
        <w:t>Préciser la définition du critère de l’urgence.</w:t>
      </w:r>
    </w:p>
    <w:p w:rsidR="009E38A9" w:rsidRPr="005016C0" w:rsidRDefault="009E38A9" w:rsidP="00C42222">
      <w:pPr>
        <w:keepLines/>
        <w:widowControl w:val="0"/>
        <w:numPr>
          <w:ilvl w:val="0"/>
          <w:numId w:val="16"/>
        </w:numPr>
        <w:overflowPunct w:val="0"/>
        <w:autoSpaceDE w:val="0"/>
        <w:autoSpaceDN w:val="0"/>
        <w:adjustRightInd w:val="0"/>
        <w:spacing w:line="240" w:lineRule="atLeast"/>
        <w:ind w:left="357" w:right="57" w:hanging="357"/>
        <w:jc w:val="both"/>
        <w:textAlignment w:val="baseline"/>
        <w:rPr>
          <w:rStyle w:val="Gras"/>
          <w:rFonts w:ascii="Book Antiqua" w:hAnsi="Book Antiqua" w:cs="Book Antiqua"/>
          <w:b w:val="0"/>
          <w:bCs w:val="0"/>
        </w:rPr>
      </w:pPr>
      <w:r w:rsidRPr="005016C0">
        <w:rPr>
          <w:rStyle w:val="Gras"/>
          <w:rFonts w:ascii="Book Antiqua" w:hAnsi="Book Antiqua" w:cs="Book Antiqua"/>
          <w:b w:val="0"/>
          <w:bCs w:val="0"/>
        </w:rPr>
        <w:t>Supprimer le critère de l’efficience économique pour justifier le recours à un contrat de partenariat</w:t>
      </w:r>
      <w:r>
        <w:rPr>
          <w:rStyle w:val="Gras"/>
          <w:rFonts w:ascii="Book Antiqua" w:hAnsi="Book Antiqua" w:cs="Book Antiqua"/>
          <w:b w:val="0"/>
          <w:bCs w:val="0"/>
        </w:rPr>
        <w:t>.</w:t>
      </w:r>
    </w:p>
    <w:p w:rsidR="009E38A9" w:rsidRPr="005016C0" w:rsidRDefault="009E38A9" w:rsidP="0094630F">
      <w:pPr>
        <w:widowControl w:val="0"/>
        <w:overflowPunct w:val="0"/>
        <w:autoSpaceDE w:val="0"/>
        <w:autoSpaceDN w:val="0"/>
        <w:adjustRightInd w:val="0"/>
        <w:spacing w:line="240" w:lineRule="atLeast"/>
        <w:ind w:right="59"/>
        <w:jc w:val="both"/>
        <w:textAlignment w:val="baseline"/>
        <w:rPr>
          <w:rStyle w:val="Gras"/>
          <w:rFonts w:ascii="Book Antiqua" w:hAnsi="Book Antiqua" w:cs="Book Antiqua"/>
          <w:b w:val="0"/>
          <w:bCs w:val="0"/>
          <w:spacing w:val="8"/>
          <w:sz w:val="20"/>
          <w:szCs w:val="20"/>
        </w:rPr>
      </w:pPr>
    </w:p>
    <w:p w:rsidR="009E38A9" w:rsidRPr="005016C0" w:rsidRDefault="009E38A9" w:rsidP="00EA0386">
      <w:pPr>
        <w:pStyle w:val="TexteChapitre"/>
        <w:keepNext/>
        <w:widowControl w:val="0"/>
        <w:spacing w:before="60" w:after="200"/>
        <w:ind w:hanging="181"/>
        <w:jc w:val="center"/>
        <w:rPr>
          <w:rFonts w:ascii="Book Antiqua" w:hAnsi="Book Antiqua" w:cs="Book Antiqua"/>
          <w:b/>
          <w:bCs/>
          <w:color w:val="C8092B"/>
          <w:sz w:val="20"/>
          <w:szCs w:val="20"/>
        </w:rPr>
      </w:pPr>
      <w:r w:rsidRPr="005016C0">
        <w:rPr>
          <w:rFonts w:ascii="Book Antiqua" w:hAnsi="Book Antiqua" w:cs="Book Antiqua"/>
          <w:b/>
          <w:bCs/>
          <w:color w:val="C8092B"/>
          <w:sz w:val="20"/>
          <w:szCs w:val="20"/>
        </w:rPr>
        <w:t>■</w:t>
      </w:r>
      <w:r w:rsidRPr="005016C0">
        <w:rPr>
          <w:rFonts w:ascii="Book Antiqua" w:hAnsi="Book Antiqua" w:cs="Book Antiqua"/>
          <w:b/>
          <w:bCs/>
          <w:color w:val="C8092B"/>
          <w:sz w:val="20"/>
          <w:szCs w:val="20"/>
          <w:u w:val="single"/>
        </w:rPr>
        <w:tab/>
        <w:t>Rendre effectif l’accès des PME-TPE à la commande publique</w:t>
      </w:r>
    </w:p>
    <w:p w:rsidR="009E38A9" w:rsidRPr="005016C0" w:rsidRDefault="009E38A9" w:rsidP="005016C0">
      <w:pPr>
        <w:widowControl w:val="0"/>
        <w:numPr>
          <w:ilvl w:val="0"/>
          <w:numId w:val="16"/>
        </w:numPr>
        <w:tabs>
          <w:tab w:val="left" w:pos="426"/>
        </w:tabs>
        <w:overflowPunct w:val="0"/>
        <w:autoSpaceDE w:val="0"/>
        <w:autoSpaceDN w:val="0"/>
        <w:adjustRightInd w:val="0"/>
        <w:spacing w:line="240" w:lineRule="atLeast"/>
        <w:ind w:right="59"/>
        <w:jc w:val="both"/>
        <w:textAlignment w:val="baseline"/>
        <w:rPr>
          <w:rStyle w:val="Gras"/>
          <w:rFonts w:ascii="Book Antiqua" w:hAnsi="Book Antiqua" w:cs="Book Antiqua"/>
          <w:b w:val="0"/>
          <w:bCs w:val="0"/>
        </w:rPr>
      </w:pPr>
      <w:r w:rsidRPr="005016C0">
        <w:rPr>
          <w:rStyle w:val="Gras"/>
          <w:rFonts w:ascii="Book Antiqua" w:hAnsi="Book Antiqua" w:cs="Book Antiqua"/>
          <w:b w:val="0"/>
          <w:bCs w:val="0"/>
        </w:rPr>
        <w:t>Réserver les contrats de partenariat à des opérations dont le coût excède un montant minimal.</w:t>
      </w:r>
    </w:p>
    <w:p w:rsidR="009E38A9" w:rsidRPr="005016C0" w:rsidRDefault="009E38A9" w:rsidP="00C42222">
      <w:pPr>
        <w:widowControl w:val="0"/>
        <w:numPr>
          <w:ilvl w:val="0"/>
          <w:numId w:val="16"/>
        </w:numPr>
        <w:overflowPunct w:val="0"/>
        <w:autoSpaceDE w:val="0"/>
        <w:autoSpaceDN w:val="0"/>
        <w:adjustRightInd w:val="0"/>
        <w:spacing w:line="240" w:lineRule="atLeast"/>
        <w:ind w:right="131"/>
        <w:jc w:val="both"/>
        <w:textAlignment w:val="baseline"/>
        <w:rPr>
          <w:rStyle w:val="Gras"/>
          <w:rFonts w:ascii="Book Antiqua" w:hAnsi="Book Antiqua" w:cs="Book Antiqua"/>
          <w:b w:val="0"/>
          <w:bCs w:val="0"/>
        </w:rPr>
      </w:pPr>
      <w:r w:rsidRPr="005016C0">
        <w:rPr>
          <w:rStyle w:val="Gras"/>
          <w:rFonts w:ascii="Book Antiqua" w:hAnsi="Book Antiqua" w:cs="Book Antiqua"/>
          <w:b w:val="0"/>
          <w:bCs w:val="0"/>
        </w:rPr>
        <w:t>Fixer par la loi ou le règlement une part minimale de l’exécution du contrat de partenariat confiée aux PME et artisans</w:t>
      </w:r>
      <w:r>
        <w:rPr>
          <w:rStyle w:val="Gras"/>
          <w:rFonts w:ascii="Book Antiqua" w:hAnsi="Book Antiqua" w:cs="Book Antiqua"/>
          <w:b w:val="0"/>
          <w:bCs w:val="0"/>
        </w:rPr>
        <w:t>.</w:t>
      </w:r>
    </w:p>
    <w:p w:rsidR="009E38A9" w:rsidRPr="005016C0" w:rsidRDefault="009E38A9" w:rsidP="00C42222">
      <w:pPr>
        <w:widowControl w:val="0"/>
        <w:numPr>
          <w:ilvl w:val="0"/>
          <w:numId w:val="16"/>
        </w:numPr>
        <w:overflowPunct w:val="0"/>
        <w:autoSpaceDE w:val="0"/>
        <w:autoSpaceDN w:val="0"/>
        <w:adjustRightInd w:val="0"/>
        <w:ind w:right="130"/>
        <w:jc w:val="both"/>
        <w:textAlignment w:val="baseline"/>
        <w:rPr>
          <w:rStyle w:val="Gras"/>
          <w:rFonts w:ascii="Book Antiqua" w:hAnsi="Book Antiqua" w:cs="Book Antiqua"/>
          <w:b w:val="0"/>
          <w:bCs w:val="0"/>
        </w:rPr>
      </w:pPr>
      <w:r w:rsidRPr="005016C0">
        <w:rPr>
          <w:rStyle w:val="Gras"/>
          <w:rFonts w:ascii="Book Antiqua" w:hAnsi="Book Antiqua" w:cs="Book Antiqua"/>
          <w:b w:val="0"/>
          <w:bCs w:val="0"/>
        </w:rPr>
        <w:t>Renforcer les garanties de paiement des entreprises auxquelles il est fait appel par le partenaire privé pour l’exécution du contrat de partenariat</w:t>
      </w:r>
      <w:r>
        <w:rPr>
          <w:rStyle w:val="Gras"/>
          <w:rFonts w:ascii="Book Antiqua" w:hAnsi="Book Antiqua" w:cs="Book Antiqua"/>
          <w:b w:val="0"/>
          <w:bCs w:val="0"/>
        </w:rPr>
        <w:t>.</w:t>
      </w:r>
    </w:p>
    <w:p w:rsidR="009E38A9" w:rsidRPr="005016C0" w:rsidRDefault="009E38A9" w:rsidP="004106AB">
      <w:pPr>
        <w:widowControl w:val="0"/>
        <w:numPr>
          <w:ilvl w:val="0"/>
          <w:numId w:val="16"/>
        </w:numPr>
        <w:overflowPunct w:val="0"/>
        <w:autoSpaceDE w:val="0"/>
        <w:autoSpaceDN w:val="0"/>
        <w:adjustRightInd w:val="0"/>
        <w:spacing w:line="240" w:lineRule="atLeast"/>
        <w:ind w:right="-11"/>
        <w:jc w:val="both"/>
        <w:textAlignment w:val="baseline"/>
        <w:rPr>
          <w:rStyle w:val="Gras"/>
          <w:rFonts w:ascii="Book Antiqua" w:hAnsi="Book Antiqua" w:cs="Book Antiqua"/>
          <w:b w:val="0"/>
          <w:bCs w:val="0"/>
        </w:rPr>
      </w:pPr>
      <w:r w:rsidRPr="005016C0">
        <w:rPr>
          <w:rStyle w:val="Gras"/>
          <w:rFonts w:ascii="Book Antiqua" w:hAnsi="Book Antiqua" w:cs="Book Antiqua"/>
          <w:b w:val="0"/>
          <w:bCs w:val="0"/>
        </w:rPr>
        <w:t xml:space="preserve">Exclure le choix de l’équipe d’architecture du </w:t>
      </w:r>
      <w:r>
        <w:rPr>
          <w:rStyle w:val="Gras"/>
          <w:rFonts w:ascii="Book Antiqua" w:hAnsi="Book Antiqua" w:cs="Book Antiqua"/>
          <w:b w:val="0"/>
          <w:bCs w:val="0"/>
        </w:rPr>
        <w:t>champ du contrat de partenariat et o</w:t>
      </w:r>
      <w:r w:rsidRPr="005016C0">
        <w:rPr>
          <w:rStyle w:val="Gras"/>
          <w:rFonts w:ascii="Book Antiqua" w:hAnsi="Book Antiqua" w:cs="Book Antiqua"/>
          <w:b w:val="0"/>
          <w:bCs w:val="0"/>
        </w:rPr>
        <w:t>rganiser en conséquence la concurrence pour l’établissement d’un tel contrat sur la base d’un projet architectural préalablement défini et adopté.</w:t>
      </w:r>
    </w:p>
    <w:p w:rsidR="009E38A9" w:rsidRPr="005016C0" w:rsidRDefault="009E38A9" w:rsidP="00EA0386">
      <w:pPr>
        <w:pStyle w:val="TexteChapitre"/>
        <w:widowControl w:val="0"/>
        <w:spacing w:before="240" w:after="200"/>
        <w:ind w:left="181" w:hanging="323"/>
        <w:jc w:val="center"/>
        <w:rPr>
          <w:rFonts w:ascii="Book Antiqua" w:hAnsi="Book Antiqua" w:cs="Book Antiqua"/>
          <w:b/>
          <w:bCs/>
          <w:color w:val="C8092B"/>
          <w:sz w:val="20"/>
          <w:szCs w:val="20"/>
        </w:rPr>
      </w:pPr>
      <w:r w:rsidRPr="005016C0">
        <w:rPr>
          <w:rFonts w:ascii="Book Antiqua" w:hAnsi="Book Antiqua" w:cs="Book Antiqua"/>
          <w:b/>
          <w:bCs/>
          <w:color w:val="C8092B"/>
          <w:sz w:val="20"/>
          <w:szCs w:val="20"/>
        </w:rPr>
        <w:t>■</w:t>
      </w:r>
      <w:r w:rsidRPr="005016C0">
        <w:rPr>
          <w:rFonts w:ascii="Book Antiqua" w:hAnsi="Book Antiqua" w:cs="Book Antiqua"/>
          <w:b/>
          <w:bCs/>
          <w:color w:val="C8092B"/>
          <w:sz w:val="20"/>
          <w:szCs w:val="20"/>
        </w:rPr>
        <w:tab/>
      </w:r>
      <w:r w:rsidRPr="005016C0">
        <w:rPr>
          <w:rFonts w:ascii="Book Antiqua" w:hAnsi="Book Antiqua" w:cs="Book Antiqua"/>
          <w:b/>
          <w:bCs/>
          <w:color w:val="C8092B"/>
          <w:sz w:val="20"/>
          <w:szCs w:val="20"/>
          <w:u w:val="single"/>
        </w:rPr>
        <w:t xml:space="preserve">Définir une doctrine de recours aux contrats de partenariat </w:t>
      </w:r>
      <w:r w:rsidRPr="005016C0">
        <w:rPr>
          <w:rFonts w:ascii="Book Antiqua" w:hAnsi="Book Antiqua" w:cs="Book Antiqua"/>
          <w:b/>
          <w:bCs/>
          <w:color w:val="C8092B"/>
          <w:sz w:val="20"/>
          <w:szCs w:val="20"/>
          <w:u w:val="single"/>
        </w:rPr>
        <w:br/>
        <w:t>et professionnaliser la commande publique</w:t>
      </w:r>
    </w:p>
    <w:p w:rsidR="009E38A9" w:rsidRPr="005016C0" w:rsidRDefault="009E38A9" w:rsidP="00C71BC3">
      <w:pPr>
        <w:widowControl w:val="0"/>
        <w:numPr>
          <w:ilvl w:val="0"/>
          <w:numId w:val="16"/>
        </w:numPr>
        <w:overflowPunct w:val="0"/>
        <w:autoSpaceDE w:val="0"/>
        <w:autoSpaceDN w:val="0"/>
        <w:adjustRightInd w:val="0"/>
        <w:spacing w:line="240" w:lineRule="atLeast"/>
        <w:ind w:right="131"/>
        <w:jc w:val="both"/>
        <w:textAlignment w:val="baseline"/>
        <w:rPr>
          <w:rStyle w:val="Gras"/>
          <w:rFonts w:ascii="Book Antiqua" w:hAnsi="Book Antiqua" w:cs="Book Antiqua"/>
          <w:b w:val="0"/>
          <w:bCs w:val="0"/>
        </w:rPr>
      </w:pPr>
      <w:r w:rsidRPr="005016C0">
        <w:rPr>
          <w:rStyle w:val="Gras"/>
          <w:rFonts w:ascii="Book Antiqua" w:hAnsi="Book Antiqua" w:cs="Book Antiqua"/>
          <w:b w:val="0"/>
          <w:bCs w:val="0"/>
        </w:rPr>
        <w:t>Définir une doctrine qui permette de ne pas recourir au contrat de partenariat pour les services pour lesquels ils sont peu adaptés.</w:t>
      </w:r>
    </w:p>
    <w:p w:rsidR="009E38A9" w:rsidRPr="005016C0" w:rsidRDefault="009E38A9" w:rsidP="004106AB">
      <w:pPr>
        <w:keepLines/>
        <w:widowControl w:val="0"/>
        <w:numPr>
          <w:ilvl w:val="0"/>
          <w:numId w:val="16"/>
        </w:numPr>
        <w:overflowPunct w:val="0"/>
        <w:autoSpaceDE w:val="0"/>
        <w:autoSpaceDN w:val="0"/>
        <w:adjustRightInd w:val="0"/>
        <w:spacing w:line="240" w:lineRule="atLeast"/>
        <w:ind w:right="130"/>
        <w:jc w:val="both"/>
        <w:textAlignment w:val="baseline"/>
        <w:rPr>
          <w:rStyle w:val="Gras"/>
          <w:rFonts w:ascii="Book Antiqua" w:hAnsi="Book Antiqua" w:cs="Book Antiqua"/>
          <w:b w:val="0"/>
          <w:bCs w:val="0"/>
        </w:rPr>
      </w:pPr>
      <w:r w:rsidRPr="005016C0">
        <w:rPr>
          <w:rStyle w:val="Gras"/>
          <w:rFonts w:ascii="Book Antiqua" w:hAnsi="Book Antiqua" w:cs="Book Antiqua"/>
          <w:b w:val="0"/>
          <w:bCs w:val="0"/>
        </w:rPr>
        <w:t>Favoriser la mise en place par la personne publique d’équipes projet recouvrant des compétences de haut niveau à tous les stades de la vie d’un contrat de partenariat.</w:t>
      </w:r>
    </w:p>
    <w:p w:rsidR="009E38A9" w:rsidRPr="005016C0" w:rsidRDefault="009E38A9" w:rsidP="004106AB">
      <w:pPr>
        <w:keepLines/>
        <w:widowControl w:val="0"/>
        <w:numPr>
          <w:ilvl w:val="0"/>
          <w:numId w:val="16"/>
        </w:numPr>
        <w:overflowPunct w:val="0"/>
        <w:autoSpaceDE w:val="0"/>
        <w:autoSpaceDN w:val="0"/>
        <w:adjustRightInd w:val="0"/>
        <w:spacing w:line="240" w:lineRule="atLeast"/>
        <w:ind w:right="130"/>
        <w:jc w:val="both"/>
        <w:textAlignment w:val="baseline"/>
        <w:rPr>
          <w:rStyle w:val="Gras"/>
          <w:rFonts w:ascii="Book Antiqua" w:hAnsi="Book Antiqua" w:cs="Book Antiqua"/>
          <w:b w:val="0"/>
          <w:bCs w:val="0"/>
        </w:rPr>
      </w:pPr>
      <w:r w:rsidRPr="005016C0">
        <w:rPr>
          <w:rStyle w:val="Gras"/>
          <w:rFonts w:ascii="Book Antiqua" w:hAnsi="Book Antiqua" w:cs="Book Antiqua"/>
          <w:b w:val="0"/>
          <w:bCs w:val="0"/>
        </w:rPr>
        <w:t>Retirer à la Mappp son rôle de promotion.</w:t>
      </w:r>
    </w:p>
    <w:p w:rsidR="009E38A9" w:rsidRPr="005016C0" w:rsidRDefault="009E38A9" w:rsidP="004106AB">
      <w:pPr>
        <w:keepLines/>
        <w:widowControl w:val="0"/>
        <w:numPr>
          <w:ilvl w:val="0"/>
          <w:numId w:val="16"/>
        </w:numPr>
        <w:overflowPunct w:val="0"/>
        <w:autoSpaceDE w:val="0"/>
        <w:autoSpaceDN w:val="0"/>
        <w:adjustRightInd w:val="0"/>
        <w:spacing w:line="240" w:lineRule="atLeast"/>
        <w:ind w:right="130"/>
        <w:jc w:val="both"/>
        <w:textAlignment w:val="baseline"/>
        <w:rPr>
          <w:rStyle w:val="Gras"/>
          <w:rFonts w:ascii="Book Antiqua" w:hAnsi="Book Antiqua" w:cs="Book Antiqua"/>
          <w:b w:val="0"/>
          <w:bCs w:val="0"/>
        </w:rPr>
      </w:pPr>
      <w:r w:rsidRPr="005016C0">
        <w:rPr>
          <w:rStyle w:val="Gras"/>
          <w:rFonts w:ascii="Book Antiqua" w:hAnsi="Book Antiqua" w:cs="Book Antiqua"/>
          <w:b w:val="0"/>
          <w:bCs w:val="0"/>
        </w:rPr>
        <w:t>Substituer à l’évaluation préalable une étude approfondie sur les capacités financières prévisibles de l’instance se proposant de signer un contrat de partenariat et sur ses capacités de remboursement à moyen et long termes sans obérer ses capacités d’investissement et de fonctionnement eu égard aux données disponibles.</w:t>
      </w:r>
    </w:p>
    <w:p w:rsidR="009E38A9" w:rsidRPr="005016C0" w:rsidRDefault="009E38A9" w:rsidP="004106AB">
      <w:pPr>
        <w:keepLines/>
        <w:widowControl w:val="0"/>
        <w:numPr>
          <w:ilvl w:val="0"/>
          <w:numId w:val="16"/>
        </w:numPr>
        <w:overflowPunct w:val="0"/>
        <w:autoSpaceDE w:val="0"/>
        <w:autoSpaceDN w:val="0"/>
        <w:adjustRightInd w:val="0"/>
        <w:spacing w:line="240" w:lineRule="atLeast"/>
        <w:ind w:right="130"/>
        <w:jc w:val="both"/>
        <w:textAlignment w:val="baseline"/>
        <w:rPr>
          <w:rStyle w:val="Gras"/>
          <w:rFonts w:ascii="Book Antiqua" w:hAnsi="Book Antiqua" w:cs="Book Antiqua"/>
          <w:b w:val="0"/>
          <w:bCs w:val="0"/>
        </w:rPr>
      </w:pPr>
      <w:r w:rsidRPr="005016C0">
        <w:rPr>
          <w:rStyle w:val="Gras"/>
          <w:rFonts w:ascii="Book Antiqua" w:hAnsi="Book Antiqua" w:cs="Book Antiqua"/>
          <w:b w:val="0"/>
          <w:bCs w:val="0"/>
        </w:rPr>
        <w:t>Confier l’établissement de l’évaluation préalable, recentrée sur s</w:t>
      </w:r>
      <w:r>
        <w:rPr>
          <w:rStyle w:val="Gras"/>
          <w:rFonts w:ascii="Book Antiqua" w:hAnsi="Book Antiqua" w:cs="Book Antiqua"/>
          <w:b w:val="0"/>
          <w:bCs w:val="0"/>
        </w:rPr>
        <w:t>es</w:t>
      </w:r>
      <w:r w:rsidRPr="005016C0">
        <w:rPr>
          <w:rStyle w:val="Gras"/>
          <w:rFonts w:ascii="Book Antiqua" w:hAnsi="Book Antiqua" w:cs="Book Antiqua"/>
          <w:b w:val="0"/>
          <w:bCs w:val="0"/>
        </w:rPr>
        <w:t xml:space="preserve"> dimension</w:t>
      </w:r>
      <w:r>
        <w:rPr>
          <w:rStyle w:val="Gras"/>
          <w:rFonts w:ascii="Book Antiqua" w:hAnsi="Book Antiqua" w:cs="Book Antiqua"/>
          <w:b w:val="0"/>
          <w:bCs w:val="0"/>
        </w:rPr>
        <w:t>s</w:t>
      </w:r>
      <w:r w:rsidRPr="005016C0">
        <w:rPr>
          <w:rStyle w:val="Gras"/>
          <w:rFonts w:ascii="Book Antiqua" w:hAnsi="Book Antiqua" w:cs="Book Antiqua"/>
          <w:b w:val="0"/>
          <w:bCs w:val="0"/>
        </w:rPr>
        <w:t xml:space="preserve"> juridique et financière, à des organismes publics, indépendants et habilités.</w:t>
      </w:r>
    </w:p>
    <w:p w:rsidR="009E38A9" w:rsidRPr="005016C0" w:rsidRDefault="009E38A9" w:rsidP="00EA0386">
      <w:pPr>
        <w:pStyle w:val="TexteChapitre"/>
        <w:widowControl w:val="0"/>
        <w:spacing w:before="240" w:after="200"/>
        <w:ind w:left="181" w:hanging="323"/>
        <w:jc w:val="center"/>
        <w:rPr>
          <w:rFonts w:ascii="Book Antiqua" w:hAnsi="Book Antiqua" w:cs="Book Antiqua"/>
          <w:b/>
          <w:bCs/>
          <w:color w:val="C8092B"/>
          <w:sz w:val="20"/>
          <w:szCs w:val="20"/>
        </w:rPr>
      </w:pPr>
      <w:r w:rsidRPr="005016C0">
        <w:rPr>
          <w:rFonts w:ascii="Book Antiqua" w:hAnsi="Book Antiqua" w:cs="Book Antiqua"/>
          <w:b/>
          <w:bCs/>
          <w:color w:val="C8092B"/>
          <w:sz w:val="20"/>
          <w:szCs w:val="20"/>
        </w:rPr>
        <w:t>■</w:t>
      </w:r>
      <w:r w:rsidRPr="005016C0">
        <w:rPr>
          <w:rFonts w:ascii="Book Antiqua" w:hAnsi="Book Antiqua" w:cs="Book Antiqua"/>
          <w:b/>
          <w:bCs/>
          <w:color w:val="C8092B"/>
          <w:sz w:val="20"/>
          <w:szCs w:val="20"/>
        </w:rPr>
        <w:tab/>
      </w:r>
      <w:r w:rsidRPr="005016C0">
        <w:rPr>
          <w:rFonts w:ascii="Book Antiqua" w:hAnsi="Book Antiqua" w:cs="Book Antiqua"/>
          <w:b/>
          <w:bCs/>
          <w:color w:val="C8092B"/>
          <w:sz w:val="20"/>
          <w:szCs w:val="20"/>
          <w:u w:val="single"/>
        </w:rPr>
        <w:t>Renforcer l’information des collectivités territoriales</w:t>
      </w:r>
    </w:p>
    <w:p w:rsidR="009E38A9" w:rsidRPr="005016C0" w:rsidRDefault="009E38A9" w:rsidP="004106AB">
      <w:pPr>
        <w:widowControl w:val="0"/>
        <w:numPr>
          <w:ilvl w:val="0"/>
          <w:numId w:val="16"/>
        </w:numPr>
        <w:overflowPunct w:val="0"/>
        <w:autoSpaceDE w:val="0"/>
        <w:autoSpaceDN w:val="0"/>
        <w:adjustRightInd w:val="0"/>
        <w:spacing w:line="240" w:lineRule="atLeast"/>
        <w:ind w:right="130"/>
        <w:jc w:val="both"/>
        <w:textAlignment w:val="baseline"/>
        <w:rPr>
          <w:rStyle w:val="Gras"/>
          <w:rFonts w:ascii="Book Antiqua" w:hAnsi="Book Antiqua" w:cs="Book Antiqua"/>
          <w:b w:val="0"/>
          <w:bCs w:val="0"/>
        </w:rPr>
      </w:pPr>
      <w:r w:rsidRPr="005016C0">
        <w:rPr>
          <w:rStyle w:val="Gras"/>
          <w:rFonts w:ascii="Book Antiqua" w:hAnsi="Book Antiqua" w:cs="Book Antiqua"/>
          <w:b w:val="0"/>
          <w:bCs w:val="0"/>
        </w:rPr>
        <w:t>Pour les collectivités territoriales, rendre obligatoire l’avis de la Mappp ou de la DDFiP avant la conclusion d’un contrat de partenariat.</w:t>
      </w:r>
    </w:p>
    <w:p w:rsidR="009E38A9" w:rsidRPr="00EE4E95" w:rsidRDefault="009E38A9" w:rsidP="00C97ED6">
      <w:pPr>
        <w:widowControl w:val="0"/>
        <w:overflowPunct w:val="0"/>
        <w:autoSpaceDE w:val="0"/>
        <w:autoSpaceDN w:val="0"/>
        <w:adjustRightInd w:val="0"/>
        <w:spacing w:line="240" w:lineRule="atLeast"/>
        <w:ind w:right="272"/>
        <w:jc w:val="both"/>
        <w:textAlignment w:val="baseline"/>
        <w:rPr>
          <w:rStyle w:val="Gras"/>
          <w:rFonts w:ascii="Book Antiqua" w:hAnsi="Book Antiqua" w:cs="Book Antiqua"/>
          <w:b w:val="0"/>
          <w:bCs w:val="0"/>
          <w:sz w:val="20"/>
          <w:szCs w:val="20"/>
          <w:highlight w:val="yellow"/>
        </w:rPr>
      </w:pPr>
    </w:p>
    <w:p w:rsidR="009E38A9" w:rsidRPr="00EE4E95" w:rsidRDefault="009E38A9" w:rsidP="00C97ED6">
      <w:pPr>
        <w:widowControl w:val="0"/>
        <w:overflowPunct w:val="0"/>
        <w:autoSpaceDE w:val="0"/>
        <w:autoSpaceDN w:val="0"/>
        <w:adjustRightInd w:val="0"/>
        <w:spacing w:line="240" w:lineRule="atLeast"/>
        <w:ind w:right="272"/>
        <w:jc w:val="both"/>
        <w:textAlignment w:val="baseline"/>
        <w:rPr>
          <w:rStyle w:val="Gras"/>
          <w:rFonts w:ascii="Book Antiqua" w:hAnsi="Book Antiqua" w:cs="Book Antiqua"/>
          <w:b w:val="0"/>
          <w:bCs w:val="0"/>
          <w:sz w:val="20"/>
          <w:szCs w:val="20"/>
          <w:highlight w:val="yellow"/>
        </w:rPr>
      </w:pPr>
    </w:p>
    <w:tbl>
      <w:tblPr>
        <w:tblW w:w="9828" w:type="dxa"/>
        <w:tblInd w:w="-376" w:type="dxa"/>
        <w:tblLayout w:type="fixed"/>
        <w:tblLook w:val="00A0"/>
      </w:tblPr>
      <w:tblGrid>
        <w:gridCol w:w="1923"/>
        <w:gridCol w:w="3344"/>
        <w:gridCol w:w="3247"/>
        <w:gridCol w:w="1314"/>
      </w:tblGrid>
      <w:tr w:rsidR="009E38A9" w:rsidRPr="007B1A8E">
        <w:trPr>
          <w:trHeight w:val="738"/>
        </w:trPr>
        <w:tc>
          <w:tcPr>
            <w:tcW w:w="1923" w:type="dxa"/>
            <w:shd w:val="clear" w:color="auto" w:fill="8DB3E2"/>
          </w:tcPr>
          <w:p w:rsidR="009E38A9" w:rsidRPr="007B1A8E" w:rsidRDefault="009E38A9" w:rsidP="00F0390C">
            <w:pPr>
              <w:pStyle w:val="TexteChapitre"/>
              <w:keepNext/>
              <w:keepLines/>
              <w:widowControl w:val="0"/>
              <w:spacing w:after="0"/>
              <w:jc w:val="left"/>
              <w:rPr>
                <w:rFonts w:ascii="Book Antiqua" w:hAnsi="Book Antiqua" w:cs="Book Antiqua"/>
              </w:rPr>
            </w:pPr>
            <w:r>
              <w:rPr>
                <w:noProof/>
              </w:rPr>
              <w:pict>
                <v:shape id="Image 7" o:spid="_x0000_s1029" type="#_x0000_t75" alt="Photo de M. Hugues PORTELLI, sénateur du Val-d'Oise (Ile-de-France)" style="position:absolute;margin-left:79.65pt;margin-top:44.55pt;width:48.65pt;height:70.7pt;z-index:251658240;visibility:visible">
                  <v:imagedata r:id="rId16" o:title=""/>
                </v:shape>
              </w:pict>
            </w:r>
            <w:r>
              <w:rPr>
                <w:noProof/>
              </w:rPr>
              <w:pict>
                <v:shape id="Image 5" o:spid="_x0000_s1030" type="#_x0000_t75" alt="http://intranet.senat.fr/interne/pratique/logo/logoquadri_150dpi_25.bmp" style="position:absolute;margin-left:4.3pt;margin-top:6.45pt;width:41.35pt;height:41.35pt;z-index:251660288;visibility:visible">
                  <v:imagedata r:id="rId17" r:href="rId18"/>
                </v:shape>
              </w:pict>
            </w:r>
          </w:p>
        </w:tc>
        <w:tc>
          <w:tcPr>
            <w:tcW w:w="6591" w:type="dxa"/>
            <w:gridSpan w:val="2"/>
            <w:shd w:val="clear" w:color="auto" w:fill="8DB3E2"/>
          </w:tcPr>
          <w:p w:rsidR="009E38A9" w:rsidRPr="007B1A8E" w:rsidRDefault="009E38A9" w:rsidP="00F0390C">
            <w:pPr>
              <w:pStyle w:val="TexteChapitre"/>
              <w:keepNext/>
              <w:keepLines/>
              <w:widowControl w:val="0"/>
              <w:spacing w:after="0"/>
              <w:jc w:val="center"/>
              <w:rPr>
                <w:rFonts w:ascii="Book Antiqua" w:hAnsi="Book Antiqua" w:cs="Book Antiqua"/>
                <w:b/>
                <w:bCs/>
              </w:rPr>
            </w:pPr>
            <w:r w:rsidRPr="007B1A8E">
              <w:rPr>
                <w:rFonts w:ascii="Book Antiqua" w:hAnsi="Book Antiqua" w:cs="Book Antiqua"/>
                <w:b/>
                <w:bCs/>
              </w:rPr>
              <w:t>Commission des lois</w:t>
            </w:r>
          </w:p>
          <w:p w:rsidR="009E38A9" w:rsidRPr="007B1A8E" w:rsidRDefault="009E38A9" w:rsidP="00F0390C">
            <w:pPr>
              <w:pStyle w:val="TexteChapitre"/>
              <w:keepNext/>
              <w:keepLines/>
              <w:widowControl w:val="0"/>
              <w:spacing w:after="0"/>
              <w:jc w:val="center"/>
              <w:rPr>
                <w:rFonts w:ascii="Book Antiqua" w:hAnsi="Book Antiqua" w:cs="Book Antiqua"/>
                <w:sz w:val="20"/>
                <w:szCs w:val="20"/>
              </w:rPr>
            </w:pPr>
            <w:hyperlink r:id="rId19" w:history="1">
              <w:r w:rsidRPr="007B1A8E">
                <w:rPr>
                  <w:rStyle w:val="Hyperlink"/>
                  <w:rFonts w:ascii="Book Antiqua" w:hAnsi="Book Antiqua" w:cs="Book Antiqua"/>
                  <w:sz w:val="20"/>
                  <w:szCs w:val="20"/>
                </w:rPr>
                <w:t>http://www.senat.fr/commission/loi/index.html</w:t>
              </w:r>
            </w:hyperlink>
          </w:p>
          <w:p w:rsidR="009E38A9" w:rsidRPr="007B1A8E" w:rsidRDefault="009E38A9" w:rsidP="00F0390C">
            <w:pPr>
              <w:pStyle w:val="TexteChapitre"/>
              <w:keepNext/>
              <w:keepLines/>
              <w:widowControl w:val="0"/>
              <w:jc w:val="center"/>
              <w:rPr>
                <w:rFonts w:ascii="Book Antiqua" w:hAnsi="Book Antiqua" w:cs="Book Antiqua"/>
              </w:rPr>
            </w:pPr>
            <w:r>
              <w:rPr>
                <w:noProof/>
              </w:rPr>
              <w:pict>
                <v:shape id="Image 1" o:spid="_x0000_s1031" type="#_x0000_t75" alt="Photo de M. Jean-Pierre SUEUR, sénateur du Loiret (Centre)" style="position:absolute;left:0;text-align:left;margin-left:193.4pt;margin-top:18.85pt;width:48.65pt;height:70.7pt;z-index:251659264;visibility:visible">
                  <v:imagedata r:id="rId20" o:title=""/>
                </v:shape>
              </w:pict>
            </w:r>
            <w:r w:rsidRPr="007B1A8E">
              <w:rPr>
                <w:rStyle w:val="Italique10"/>
                <w:rFonts w:ascii="Book Antiqua" w:hAnsi="Book Antiqua" w:cs="Book Antiqua"/>
                <w:sz w:val="18"/>
                <w:szCs w:val="18"/>
              </w:rPr>
              <w:t>Téléphone : 01 42 34 39 08 – Télécopie : 01 42 34 31 47</w:t>
            </w:r>
          </w:p>
        </w:tc>
        <w:tc>
          <w:tcPr>
            <w:tcW w:w="1314" w:type="dxa"/>
            <w:shd w:val="clear" w:color="auto" w:fill="8DB3E2"/>
          </w:tcPr>
          <w:p w:rsidR="009E38A9" w:rsidRPr="007B1A8E" w:rsidRDefault="009E38A9" w:rsidP="00F0390C">
            <w:pPr>
              <w:pStyle w:val="TexteChapitre"/>
              <w:keepNext/>
              <w:keepLines/>
              <w:widowControl w:val="0"/>
              <w:spacing w:after="0"/>
              <w:jc w:val="center"/>
              <w:rPr>
                <w:rFonts w:ascii="Book Antiqua" w:hAnsi="Book Antiqua" w:cs="Book Antiqua"/>
                <w:b/>
                <w:bCs/>
                <w:highlight w:val="yellow"/>
              </w:rPr>
            </w:pPr>
          </w:p>
        </w:tc>
      </w:tr>
      <w:tr w:rsidR="009E38A9" w:rsidRPr="007B1A8E">
        <w:trPr>
          <w:trHeight w:val="1015"/>
        </w:trPr>
        <w:tc>
          <w:tcPr>
            <w:tcW w:w="5267" w:type="dxa"/>
            <w:gridSpan w:val="2"/>
            <w:shd w:val="clear" w:color="auto" w:fill="8DB3E2"/>
          </w:tcPr>
          <w:p w:rsidR="009E38A9" w:rsidRDefault="009E38A9" w:rsidP="00657058">
            <w:pPr>
              <w:pStyle w:val="TexteChapitre"/>
              <w:keepNext/>
              <w:keepLines/>
              <w:widowControl w:val="0"/>
              <w:spacing w:after="0"/>
              <w:ind w:left="2644"/>
              <w:jc w:val="left"/>
              <w:rPr>
                <w:rFonts w:ascii="Book Antiqua" w:hAnsi="Book Antiqua" w:cs="Book Antiqua"/>
                <w:b/>
                <w:bCs/>
                <w:i/>
                <w:iCs/>
                <w:sz w:val="18"/>
                <w:szCs w:val="18"/>
              </w:rPr>
            </w:pPr>
          </w:p>
          <w:p w:rsidR="009E38A9" w:rsidRPr="007B1A8E" w:rsidRDefault="009E38A9" w:rsidP="00657058">
            <w:pPr>
              <w:pStyle w:val="TexteChapitre"/>
              <w:keepNext/>
              <w:keepLines/>
              <w:widowControl w:val="0"/>
              <w:spacing w:after="0"/>
              <w:ind w:left="2644"/>
              <w:jc w:val="left"/>
              <w:rPr>
                <w:rFonts w:ascii="Book Antiqua" w:hAnsi="Book Antiqua" w:cs="Book Antiqua"/>
                <w:b/>
                <w:bCs/>
                <w:i/>
                <w:iCs/>
                <w:sz w:val="18"/>
                <w:szCs w:val="18"/>
              </w:rPr>
            </w:pPr>
            <w:r w:rsidRPr="007B1A8E">
              <w:rPr>
                <w:rFonts w:ascii="Book Antiqua" w:hAnsi="Book Antiqua" w:cs="Book Antiqua"/>
                <w:b/>
                <w:bCs/>
                <w:i/>
                <w:iCs/>
                <w:sz w:val="18"/>
                <w:szCs w:val="18"/>
              </w:rPr>
              <w:t>Rapporteur</w:t>
            </w:r>
          </w:p>
          <w:p w:rsidR="009E38A9" w:rsidRPr="007B1A8E" w:rsidRDefault="009E38A9" w:rsidP="00657058">
            <w:pPr>
              <w:pStyle w:val="TexteChapitre"/>
              <w:keepNext/>
              <w:keepLines/>
              <w:widowControl w:val="0"/>
              <w:spacing w:after="0"/>
              <w:ind w:left="2644"/>
              <w:jc w:val="left"/>
              <w:rPr>
                <w:rFonts w:ascii="Book Antiqua" w:hAnsi="Book Antiqua" w:cs="Book Antiqua"/>
                <w:sz w:val="18"/>
                <w:szCs w:val="18"/>
              </w:rPr>
            </w:pPr>
            <w:r>
              <w:rPr>
                <w:rFonts w:ascii="Book Antiqua" w:hAnsi="Book Antiqua" w:cs="Book Antiqua"/>
                <w:b/>
                <w:bCs/>
                <w:sz w:val="18"/>
                <w:szCs w:val="18"/>
              </w:rPr>
              <w:t>M. Hugues Portelli</w:t>
            </w:r>
            <w:r>
              <w:rPr>
                <w:rFonts w:ascii="Book Antiqua" w:hAnsi="Book Antiqua" w:cs="Book Antiqua"/>
                <w:b/>
                <w:bCs/>
                <w:sz w:val="18"/>
                <w:szCs w:val="18"/>
              </w:rPr>
              <w:br/>
            </w:r>
            <w:r>
              <w:rPr>
                <w:rFonts w:ascii="Book Antiqua" w:hAnsi="Book Antiqua" w:cs="Book Antiqua"/>
                <w:sz w:val="18"/>
                <w:szCs w:val="18"/>
              </w:rPr>
              <w:t>Sénateur</w:t>
            </w:r>
            <w:r w:rsidRPr="00F52D53">
              <w:rPr>
                <w:rFonts w:ascii="Book Antiqua" w:hAnsi="Book Antiqua" w:cs="Book Antiqua"/>
                <w:sz w:val="18"/>
                <w:szCs w:val="18"/>
              </w:rPr>
              <w:t xml:space="preserve"> (</w:t>
            </w:r>
            <w:r>
              <w:rPr>
                <w:rFonts w:ascii="Book Antiqua" w:hAnsi="Book Antiqua" w:cs="Book Antiqua"/>
                <w:sz w:val="18"/>
                <w:szCs w:val="18"/>
              </w:rPr>
              <w:t>UMP</w:t>
            </w:r>
            <w:r w:rsidRPr="00F52D53">
              <w:rPr>
                <w:rFonts w:ascii="Book Antiqua" w:hAnsi="Book Antiqua" w:cs="Book Antiqua"/>
                <w:sz w:val="18"/>
                <w:szCs w:val="18"/>
              </w:rPr>
              <w:t>)</w:t>
            </w:r>
            <w:r>
              <w:rPr>
                <w:rFonts w:ascii="Book Antiqua" w:hAnsi="Book Antiqua" w:cs="Book Antiqua"/>
                <w:sz w:val="18"/>
                <w:szCs w:val="18"/>
              </w:rPr>
              <w:br/>
              <w:t>du Val d’Oise</w:t>
            </w:r>
          </w:p>
        </w:tc>
        <w:tc>
          <w:tcPr>
            <w:tcW w:w="4561" w:type="dxa"/>
            <w:gridSpan w:val="2"/>
            <w:shd w:val="clear" w:color="auto" w:fill="8DB3E2"/>
          </w:tcPr>
          <w:p w:rsidR="009E38A9" w:rsidRDefault="009E38A9" w:rsidP="00F0390C">
            <w:pPr>
              <w:pStyle w:val="TexteChapitre"/>
              <w:keepNext/>
              <w:keepLines/>
              <w:widowControl w:val="0"/>
              <w:tabs>
                <w:tab w:val="left" w:pos="1598"/>
              </w:tabs>
              <w:spacing w:after="0"/>
              <w:ind w:left="1598"/>
              <w:jc w:val="left"/>
              <w:rPr>
                <w:rFonts w:ascii="Book Antiqua" w:hAnsi="Book Antiqua" w:cs="Book Antiqua"/>
                <w:b/>
                <w:bCs/>
                <w:i/>
                <w:iCs/>
                <w:sz w:val="18"/>
                <w:szCs w:val="18"/>
              </w:rPr>
            </w:pPr>
          </w:p>
          <w:p w:rsidR="009E38A9" w:rsidRPr="007B1A8E" w:rsidRDefault="009E38A9" w:rsidP="00F0390C">
            <w:pPr>
              <w:pStyle w:val="TexteChapitre"/>
              <w:keepNext/>
              <w:keepLines/>
              <w:widowControl w:val="0"/>
              <w:tabs>
                <w:tab w:val="left" w:pos="1598"/>
              </w:tabs>
              <w:spacing w:after="0"/>
              <w:ind w:left="1598"/>
              <w:jc w:val="left"/>
              <w:rPr>
                <w:rFonts w:ascii="Book Antiqua" w:hAnsi="Book Antiqua" w:cs="Book Antiqua"/>
                <w:b/>
                <w:bCs/>
                <w:i/>
                <w:iCs/>
                <w:sz w:val="18"/>
                <w:szCs w:val="18"/>
              </w:rPr>
            </w:pPr>
            <w:r w:rsidRPr="007B1A8E">
              <w:rPr>
                <w:rFonts w:ascii="Book Antiqua" w:hAnsi="Book Antiqua" w:cs="Book Antiqua"/>
                <w:b/>
                <w:bCs/>
                <w:i/>
                <w:iCs/>
                <w:sz w:val="18"/>
                <w:szCs w:val="18"/>
              </w:rPr>
              <w:t>Rapporteur</w:t>
            </w:r>
          </w:p>
          <w:p w:rsidR="009E38A9" w:rsidRPr="007B1A8E" w:rsidRDefault="009E38A9" w:rsidP="00EE4E95">
            <w:pPr>
              <w:pStyle w:val="TexteChapitre"/>
              <w:keepNext/>
              <w:keepLines/>
              <w:widowControl w:val="0"/>
              <w:tabs>
                <w:tab w:val="left" w:pos="1598"/>
              </w:tabs>
              <w:spacing w:after="0"/>
              <w:ind w:left="1598"/>
              <w:jc w:val="left"/>
              <w:rPr>
                <w:rFonts w:ascii="Book Antiqua" w:hAnsi="Book Antiqua" w:cs="Book Antiqua"/>
                <w:b/>
                <w:bCs/>
                <w:i/>
                <w:iCs/>
                <w:sz w:val="18"/>
                <w:szCs w:val="18"/>
              </w:rPr>
            </w:pPr>
            <w:r>
              <w:rPr>
                <w:rFonts w:ascii="Book Antiqua" w:hAnsi="Book Antiqua" w:cs="Book Antiqua"/>
                <w:b/>
                <w:bCs/>
                <w:sz w:val="18"/>
                <w:szCs w:val="18"/>
              </w:rPr>
              <w:t>M. Jean-Pierre Sueur</w:t>
            </w:r>
            <w:r>
              <w:rPr>
                <w:rFonts w:ascii="Book Antiqua" w:hAnsi="Book Antiqua" w:cs="Book Antiqua"/>
                <w:b/>
                <w:bCs/>
                <w:sz w:val="18"/>
                <w:szCs w:val="18"/>
              </w:rPr>
              <w:br/>
            </w:r>
            <w:r w:rsidRPr="00F52D53">
              <w:rPr>
                <w:rFonts w:ascii="Book Antiqua" w:hAnsi="Book Antiqua" w:cs="Book Antiqua"/>
                <w:sz w:val="18"/>
                <w:szCs w:val="18"/>
              </w:rPr>
              <w:t>Sénateur (</w:t>
            </w:r>
            <w:r>
              <w:rPr>
                <w:rFonts w:ascii="Book Antiqua" w:hAnsi="Book Antiqua" w:cs="Book Antiqua"/>
                <w:sz w:val="18"/>
                <w:szCs w:val="18"/>
              </w:rPr>
              <w:t>SOC</w:t>
            </w:r>
            <w:r w:rsidRPr="00F52D53">
              <w:rPr>
                <w:rFonts w:ascii="Book Antiqua" w:hAnsi="Book Antiqua" w:cs="Book Antiqua"/>
                <w:sz w:val="18"/>
                <w:szCs w:val="18"/>
              </w:rPr>
              <w:t>)</w:t>
            </w:r>
            <w:r>
              <w:rPr>
                <w:rFonts w:ascii="Book Antiqua" w:hAnsi="Book Antiqua" w:cs="Book Antiqua"/>
                <w:sz w:val="18"/>
                <w:szCs w:val="18"/>
              </w:rPr>
              <w:br/>
              <w:t>du Loiret</w:t>
            </w:r>
          </w:p>
        </w:tc>
      </w:tr>
      <w:tr w:rsidR="009E38A9" w:rsidRPr="007B1A8E">
        <w:trPr>
          <w:trHeight w:val="698"/>
        </w:trPr>
        <w:tc>
          <w:tcPr>
            <w:tcW w:w="9828" w:type="dxa"/>
            <w:gridSpan w:val="4"/>
            <w:shd w:val="clear" w:color="auto" w:fill="8DB3E2"/>
          </w:tcPr>
          <w:p w:rsidR="009E38A9" w:rsidRDefault="009E38A9" w:rsidP="00E0188C">
            <w:pPr>
              <w:pStyle w:val="TexteChapitre"/>
              <w:keepNext/>
              <w:keepLines/>
              <w:spacing w:after="0"/>
              <w:jc w:val="center"/>
              <w:rPr>
                <w:rFonts w:ascii="Book Antiqua" w:hAnsi="Book Antiqua" w:cs="Book Antiqua"/>
                <w:sz w:val="18"/>
                <w:szCs w:val="18"/>
              </w:rPr>
            </w:pPr>
          </w:p>
          <w:p w:rsidR="009E38A9" w:rsidRPr="00F21D25" w:rsidRDefault="009E38A9" w:rsidP="006D5570">
            <w:pPr>
              <w:pStyle w:val="TexteChapitre"/>
              <w:keepNext/>
              <w:keepLines/>
              <w:widowControl w:val="0"/>
              <w:tabs>
                <w:tab w:val="left" w:pos="1598"/>
              </w:tabs>
              <w:spacing w:after="0"/>
              <w:jc w:val="center"/>
              <w:rPr>
                <w:rFonts w:ascii="Book Antiqua" w:hAnsi="Book Antiqua" w:cs="Book Antiqua"/>
              </w:rPr>
            </w:pPr>
            <w:bookmarkStart w:id="0" w:name="_GoBack"/>
            <w:bookmarkEnd w:id="0"/>
          </w:p>
          <w:p w:rsidR="009E38A9" w:rsidRPr="007B1A8E" w:rsidRDefault="009E38A9" w:rsidP="006D5570">
            <w:pPr>
              <w:pStyle w:val="TexteChapitre"/>
              <w:keepNext/>
              <w:keepLines/>
              <w:widowControl w:val="0"/>
              <w:tabs>
                <w:tab w:val="left" w:pos="1598"/>
              </w:tabs>
              <w:spacing w:after="0"/>
              <w:jc w:val="center"/>
              <w:rPr>
                <w:rFonts w:ascii="Book Antiqua" w:hAnsi="Book Antiqua" w:cs="Book Antiqua"/>
                <w:b/>
                <w:bCs/>
                <w:i/>
                <w:iCs/>
                <w:sz w:val="18"/>
                <w:szCs w:val="18"/>
              </w:rPr>
            </w:pPr>
          </w:p>
        </w:tc>
      </w:tr>
    </w:tbl>
    <w:p w:rsidR="009E38A9" w:rsidRPr="007B1A8E" w:rsidRDefault="009E38A9" w:rsidP="00F0390C">
      <w:pPr>
        <w:widowControl w:val="0"/>
        <w:overflowPunct w:val="0"/>
        <w:autoSpaceDE w:val="0"/>
        <w:autoSpaceDN w:val="0"/>
        <w:adjustRightInd w:val="0"/>
        <w:spacing w:line="240" w:lineRule="atLeast"/>
        <w:jc w:val="both"/>
        <w:textAlignment w:val="baseline"/>
        <w:rPr>
          <w:rStyle w:val="Gras"/>
          <w:rFonts w:ascii="Book Antiqua" w:hAnsi="Book Antiqua" w:cs="Book Antiqua"/>
          <w:b w:val="0"/>
          <w:bCs w:val="0"/>
          <w:sz w:val="20"/>
          <w:szCs w:val="20"/>
          <w:highlight w:val="yellow"/>
        </w:rPr>
        <w:sectPr w:rsidR="009E38A9" w:rsidRPr="007B1A8E" w:rsidSect="007C12DB">
          <w:type w:val="continuous"/>
          <w:pgSz w:w="11906" w:h="16838" w:code="9"/>
          <w:pgMar w:top="1418" w:right="1418" w:bottom="902" w:left="1418" w:header="709" w:footer="299" w:gutter="0"/>
          <w:cols w:space="20" w:equalWidth="0">
            <w:col w:w="9070"/>
          </w:cols>
          <w:titlePg/>
          <w:docGrid w:linePitch="360"/>
        </w:sectPr>
      </w:pPr>
    </w:p>
    <w:p w:rsidR="009E38A9" w:rsidRDefault="009E38A9" w:rsidP="00D61411">
      <w:pPr>
        <w:pStyle w:val="TexteChapitre"/>
        <w:widowControl w:val="0"/>
        <w:spacing w:after="0"/>
        <w:rPr>
          <w:rFonts w:ascii="Book Antiqua" w:hAnsi="Book Antiqua" w:cs="Book Antiqua"/>
          <w:sz w:val="2"/>
          <w:szCs w:val="2"/>
        </w:rPr>
      </w:pPr>
    </w:p>
    <w:p w:rsidR="009E38A9" w:rsidRPr="00B85976" w:rsidRDefault="009E38A9" w:rsidP="00D61411">
      <w:pPr>
        <w:pStyle w:val="TexteChapitre"/>
        <w:widowControl w:val="0"/>
        <w:spacing w:after="0"/>
        <w:rPr>
          <w:rFonts w:ascii="Book Antiqua" w:hAnsi="Book Antiqua" w:cs="Book Antiqua"/>
          <w:sz w:val="2"/>
          <w:szCs w:val="2"/>
        </w:rPr>
      </w:pPr>
    </w:p>
    <w:sectPr w:rsidR="009E38A9" w:rsidRPr="00B85976" w:rsidSect="007C12DB">
      <w:type w:val="continuous"/>
      <w:pgSz w:w="11906" w:h="16838" w:code="9"/>
      <w:pgMar w:top="1418" w:right="1418" w:bottom="902" w:left="1418" w:header="709" w:footer="299" w:gutter="0"/>
      <w:cols w:space="20" w:equalWidth="0">
        <w:col w:w="907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8A9" w:rsidRDefault="009E38A9">
      <w:r>
        <w:separator/>
      </w:r>
    </w:p>
    <w:p w:rsidR="009E38A9" w:rsidRDefault="009E38A9"/>
  </w:endnote>
  <w:endnote w:type="continuationSeparator" w:id="0">
    <w:p w:rsidR="009E38A9" w:rsidRDefault="009E38A9">
      <w:r>
        <w:continuationSeparator/>
      </w:r>
    </w:p>
    <w:p w:rsidR="009E38A9" w:rsidRDefault="009E38A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ill Sans MT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8A9" w:rsidRPr="00221B62" w:rsidRDefault="009E38A9" w:rsidP="007C10C1">
    <w:pPr>
      <w:shd w:val="clear" w:color="auto" w:fill="C0C0C0"/>
      <w:ind w:right="-110"/>
      <w:jc w:val="center"/>
      <w:rPr>
        <w:i/>
        <w:iCs/>
        <w:sz w:val="16"/>
        <w:szCs w:val="16"/>
      </w:rPr>
    </w:pPr>
    <w:r>
      <w:rPr>
        <w:i/>
        <w:iCs/>
        <w:sz w:val="16"/>
        <w:szCs w:val="16"/>
      </w:rPr>
      <w:br/>
    </w:r>
    <w:r w:rsidRPr="00221B62">
      <w:rPr>
        <w:i/>
        <w:iCs/>
        <w:sz w:val="16"/>
        <w:szCs w:val="16"/>
      </w:rPr>
      <w:t>Sénat</w:t>
    </w:r>
    <w:r>
      <w:rPr>
        <w:i/>
        <w:iCs/>
        <w:sz w:val="16"/>
        <w:szCs w:val="16"/>
      </w:rPr>
      <w:t xml:space="preserve"> –</w:t>
    </w:r>
    <w:r w:rsidRPr="00221B62">
      <w:rPr>
        <w:i/>
        <w:iCs/>
        <w:sz w:val="16"/>
        <w:szCs w:val="16"/>
      </w:rPr>
      <w:t xml:space="preserve"> </w:t>
    </w:r>
    <w:r>
      <w:rPr>
        <w:i/>
        <w:iCs/>
        <w:sz w:val="16"/>
        <w:szCs w:val="16"/>
      </w:rPr>
      <w:t xml:space="preserve">15, rue de Vaugirard - 75291 Paris Cedex 06 </w:t>
    </w:r>
    <w:r w:rsidRPr="001A36D0">
      <w:rPr>
        <w:i/>
        <w:iCs/>
        <w:color w:val="C8092B"/>
        <w:sz w:val="16"/>
        <w:szCs w:val="16"/>
      </w:rPr>
      <w:t xml:space="preserve">- </w:t>
    </w:r>
    <w:hyperlink r:id="rId1" w:history="1">
      <w:r w:rsidRPr="001A36D0">
        <w:rPr>
          <w:rStyle w:val="Hyperlink"/>
          <w:rFonts w:cs="Arial"/>
          <w:i/>
          <w:iCs/>
          <w:color w:val="C8092B"/>
          <w:sz w:val="16"/>
          <w:szCs w:val="16"/>
          <w:u w:val="none"/>
        </w:rPr>
        <w:t>www.senat.fr</w:t>
      </w:r>
    </w:hyperlink>
    <w:r>
      <w:rPr>
        <w:i/>
        <w:iCs/>
        <w:sz w:val="16"/>
        <w:szCs w:val="16"/>
      </w:rPr>
      <w:b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8A9" w:rsidRDefault="009E38A9" w:rsidP="00C162F5">
    <w:pPr>
      <w:pStyle w:val="Subtitle"/>
    </w:pPr>
    <w:r>
      <w:br/>
    </w:r>
    <w:r w:rsidRPr="00C162F5">
      <w:rPr>
        <w:rFonts w:ascii="Book Antiqua" w:hAnsi="Book Antiqua" w:cs="Book Antiqua"/>
        <w:sz w:val="16"/>
        <w:szCs w:val="16"/>
      </w:rPr>
      <w:t xml:space="preserve">Sénat – 15, rue de Vaugirard - 75291 Paris Cedex 06 </w:t>
    </w:r>
    <w:r w:rsidRPr="00C162F5">
      <w:rPr>
        <w:rFonts w:ascii="Book Antiqua" w:hAnsi="Book Antiqua" w:cs="Book Antiqua"/>
        <w:color w:val="C8092B"/>
        <w:sz w:val="16"/>
        <w:szCs w:val="16"/>
      </w:rPr>
      <w:t xml:space="preserve">- </w:t>
    </w:r>
    <w:hyperlink r:id="rId1" w:history="1">
      <w:r w:rsidRPr="00C162F5">
        <w:rPr>
          <w:rStyle w:val="Hyperlink"/>
          <w:rFonts w:ascii="Book Antiqua" w:hAnsi="Book Antiqua" w:cs="Book Antiqua"/>
          <w:i/>
          <w:iCs/>
          <w:color w:val="C8092B"/>
          <w:sz w:val="16"/>
          <w:szCs w:val="16"/>
          <w:u w:val="none"/>
        </w:rPr>
        <w:t>www.senat.fr</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0A0"/>
    </w:tblPr>
    <w:tblGrid>
      <w:gridCol w:w="9286"/>
    </w:tblGrid>
    <w:tr w:rsidR="009E38A9">
      <w:tc>
        <w:tcPr>
          <w:tcW w:w="5000" w:type="pct"/>
          <w:vAlign w:val="center"/>
        </w:tcPr>
        <w:p w:rsidR="009E38A9" w:rsidRDefault="009E38A9" w:rsidP="00657243">
          <w:pPr>
            <w:spacing w:before="80" w:after="80"/>
            <w:jc w:val="center"/>
          </w:pPr>
          <w:r w:rsidRPr="00657243">
            <w:rPr>
              <w:rFonts w:ascii="Book Antiqua" w:hAnsi="Book Antiqua" w:cs="Book Antiqua"/>
              <w:sz w:val="16"/>
              <w:szCs w:val="16"/>
            </w:rPr>
            <w:t xml:space="preserve">Sénat – 15, rue de Vaugirard - 75291 Paris Cedex 06 </w:t>
          </w:r>
          <w:r w:rsidRPr="00657243">
            <w:rPr>
              <w:rFonts w:ascii="Book Antiqua" w:hAnsi="Book Antiqua" w:cs="Book Antiqua"/>
              <w:color w:val="C00000"/>
              <w:sz w:val="16"/>
              <w:szCs w:val="16"/>
            </w:rPr>
            <w:t xml:space="preserve">- </w:t>
          </w:r>
          <w:hyperlink r:id="rId1" w:history="1">
            <w:r w:rsidRPr="00657243">
              <w:rPr>
                <w:rStyle w:val="Hyperlink"/>
                <w:rFonts w:ascii="Book Antiqua" w:hAnsi="Book Antiqua" w:cs="Book Antiqua"/>
                <w:i/>
                <w:iCs/>
                <w:color w:val="C00000"/>
                <w:sz w:val="16"/>
                <w:szCs w:val="16"/>
                <w:u w:val="none"/>
              </w:rPr>
              <w:t>www.senat.fr</w:t>
            </w:r>
          </w:hyperlink>
        </w:p>
      </w:tc>
    </w:tr>
  </w:tbl>
  <w:p w:rsidR="009E38A9" w:rsidRDefault="009E38A9" w:rsidP="00C162F5">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8A9" w:rsidRDefault="009E38A9">
      <w:r>
        <w:separator/>
      </w:r>
    </w:p>
    <w:p w:rsidR="009E38A9" w:rsidRDefault="009E38A9"/>
  </w:footnote>
  <w:footnote w:type="continuationSeparator" w:id="0">
    <w:p w:rsidR="009E38A9" w:rsidRDefault="009E38A9">
      <w:r>
        <w:continuationSeparator/>
      </w:r>
    </w:p>
    <w:p w:rsidR="009E38A9" w:rsidRDefault="009E38A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8A9" w:rsidRPr="0081796A" w:rsidRDefault="009E38A9" w:rsidP="0081796A">
    <w:pPr>
      <w:pStyle w:val="Header"/>
      <w:shd w:val="clear" w:color="auto" w:fill="C8092B"/>
      <w:tabs>
        <w:tab w:val="clear" w:pos="4536"/>
        <w:tab w:val="clear" w:pos="9072"/>
        <w:tab w:val="left" w:pos="180"/>
        <w:tab w:val="left" w:pos="1903"/>
        <w:tab w:val="right" w:pos="8820"/>
      </w:tabs>
      <w:rPr>
        <w:smallCaps/>
        <w:color w:val="FFFFFF"/>
        <w:sz w:val="20"/>
        <w:szCs w:val="20"/>
      </w:rPr>
    </w:pPr>
    <w:r w:rsidRPr="005D2F2B">
      <w:rPr>
        <w:rStyle w:val="PageNumber"/>
        <w:smallCaps/>
        <w:color w:val="FFFFFF"/>
        <w:sz w:val="20"/>
        <w:szCs w:val="20"/>
      </w:rPr>
      <w:tab/>
    </w:r>
    <w:r w:rsidRPr="005D2F2B">
      <w:rPr>
        <w:rStyle w:val="PageNumber"/>
        <w:smallCaps/>
        <w:color w:val="FFFFFF"/>
        <w:sz w:val="20"/>
        <w:szCs w:val="20"/>
      </w:rPr>
      <w:fldChar w:fldCharType="begin"/>
    </w:r>
    <w:r w:rsidRPr="005D2F2B">
      <w:rPr>
        <w:rStyle w:val="PageNumber"/>
        <w:smallCaps/>
        <w:color w:val="FFFFFF"/>
        <w:sz w:val="20"/>
        <w:szCs w:val="20"/>
      </w:rPr>
      <w:instrText xml:space="preserve"> PAGE </w:instrText>
    </w:r>
    <w:r w:rsidRPr="005D2F2B">
      <w:rPr>
        <w:rStyle w:val="PageNumber"/>
        <w:smallCaps/>
        <w:color w:val="FFFFFF"/>
        <w:sz w:val="20"/>
        <w:szCs w:val="20"/>
      </w:rPr>
      <w:fldChar w:fldCharType="separate"/>
    </w:r>
    <w:r>
      <w:rPr>
        <w:rStyle w:val="PageNumber"/>
        <w:smallCaps/>
        <w:noProof/>
        <w:color w:val="FFFFFF"/>
        <w:sz w:val="20"/>
        <w:szCs w:val="20"/>
      </w:rPr>
      <w:t>4</w:t>
    </w:r>
    <w:r w:rsidRPr="005D2F2B">
      <w:rPr>
        <w:rStyle w:val="PageNumber"/>
        <w:smallCaps/>
        <w:color w:val="FFFFFF"/>
        <w:sz w:val="20"/>
        <w:szCs w:val="20"/>
      </w:rPr>
      <w:fldChar w:fldCharType="end"/>
    </w:r>
    <w:r w:rsidRPr="005D2F2B">
      <w:rPr>
        <w:rStyle w:val="PageNumber"/>
        <w:smallCaps/>
        <w:color w:val="FFFFFF"/>
        <w:sz w:val="20"/>
        <w:szCs w:val="20"/>
      </w:rPr>
      <w:tab/>
    </w:r>
    <w:r>
      <w:rPr>
        <w:rStyle w:val="PageNumber"/>
        <w:smallCaps/>
        <w:color w:val="FFFFFF"/>
        <w:sz w:val="20"/>
        <w:szCs w:val="20"/>
      </w:rPr>
      <w:tab/>
    </w:r>
    <w:r>
      <w:rPr>
        <w:smallCaps/>
        <w:color w:val="FFFFFF"/>
        <w:sz w:val="20"/>
        <w:szCs w:val="20"/>
      </w:rPr>
      <w:t>la suppression de la taxe professionnelle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8A9" w:rsidRPr="003B7E86" w:rsidRDefault="009E38A9" w:rsidP="003B3794">
    <w:pPr>
      <w:pStyle w:val="Header"/>
      <w:shd w:val="clear" w:color="auto" w:fill="C8092B"/>
      <w:tabs>
        <w:tab w:val="clear" w:pos="4536"/>
        <w:tab w:val="clear" w:pos="9072"/>
        <w:tab w:val="right" w:pos="8820"/>
      </w:tabs>
      <w:rPr>
        <w:smallCaps/>
        <w:color w:val="FFFFFF"/>
        <w:sz w:val="20"/>
        <w:szCs w:val="20"/>
      </w:rPr>
    </w:pPr>
    <w:r>
      <w:rPr>
        <w:rStyle w:val="PageNumber"/>
        <w:smallCaps/>
        <w:color w:val="FFFFFF"/>
        <w:sz w:val="20"/>
        <w:szCs w:val="20"/>
      </w:rPr>
      <w:t>Les contrats de partenariat : des bombes à retardement ?</w:t>
    </w:r>
    <w:r w:rsidRPr="005D2F2B">
      <w:rPr>
        <w:rStyle w:val="PageNumber"/>
        <w:smallCaps/>
        <w:color w:val="FFFFFF"/>
        <w:sz w:val="20"/>
        <w:szCs w:val="20"/>
      </w:rPr>
      <w:tab/>
    </w:r>
    <w:r w:rsidRPr="005D2F2B">
      <w:rPr>
        <w:rStyle w:val="PageNumber"/>
        <w:smallCaps/>
        <w:color w:val="FFFFFF"/>
        <w:sz w:val="20"/>
        <w:szCs w:val="20"/>
      </w:rPr>
      <w:fldChar w:fldCharType="begin"/>
    </w:r>
    <w:r w:rsidRPr="005D2F2B">
      <w:rPr>
        <w:rStyle w:val="PageNumber"/>
        <w:smallCaps/>
        <w:color w:val="FFFFFF"/>
        <w:sz w:val="20"/>
        <w:szCs w:val="20"/>
      </w:rPr>
      <w:instrText xml:space="preserve"> PAGE </w:instrText>
    </w:r>
    <w:r w:rsidRPr="005D2F2B">
      <w:rPr>
        <w:rStyle w:val="PageNumber"/>
        <w:smallCaps/>
        <w:color w:val="FFFFFF"/>
        <w:sz w:val="20"/>
        <w:szCs w:val="20"/>
      </w:rPr>
      <w:fldChar w:fldCharType="separate"/>
    </w:r>
    <w:r>
      <w:rPr>
        <w:rStyle w:val="PageNumber"/>
        <w:smallCaps/>
        <w:noProof/>
        <w:color w:val="FFFFFF"/>
        <w:sz w:val="20"/>
        <w:szCs w:val="20"/>
      </w:rPr>
      <w:t>4</w:t>
    </w:r>
    <w:r w:rsidRPr="005D2F2B">
      <w:rPr>
        <w:rStyle w:val="PageNumber"/>
        <w:smallCaps/>
        <w:color w:val="FFFFFF"/>
        <w:sz w:val="20"/>
        <w:szCs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8A9" w:rsidRPr="003B7E86" w:rsidRDefault="009E38A9" w:rsidP="000D336C">
    <w:pPr>
      <w:pStyle w:val="Header"/>
      <w:shd w:val="clear" w:color="auto" w:fill="C8092B"/>
      <w:tabs>
        <w:tab w:val="clear" w:pos="4536"/>
        <w:tab w:val="clear" w:pos="9072"/>
        <w:tab w:val="right" w:pos="8820"/>
      </w:tabs>
      <w:jc w:val="right"/>
      <w:rPr>
        <w:smallCaps/>
        <w:color w:val="FFFFFF"/>
        <w:sz w:val="20"/>
        <w:szCs w:val="20"/>
      </w:rPr>
    </w:pPr>
    <w:r>
      <w:rPr>
        <w:rStyle w:val="PageNumber"/>
        <w:smallCaps/>
        <w:color w:val="FFFFFF"/>
        <w:sz w:val="20"/>
        <w:szCs w:val="20"/>
      </w:rPr>
      <w:t>Les contrats de partenariat : des bombes à retardement ?</w:t>
    </w:r>
    <w:r w:rsidRPr="005D2F2B">
      <w:rPr>
        <w:rStyle w:val="PageNumber"/>
        <w:smallCaps/>
        <w:color w:val="FFFFFF"/>
        <w:sz w:val="20"/>
        <w:szCs w:val="20"/>
      </w:rPr>
      <w:tab/>
    </w:r>
    <w:r w:rsidRPr="005D2F2B">
      <w:rPr>
        <w:rStyle w:val="PageNumber"/>
        <w:smallCaps/>
        <w:color w:val="FFFFFF"/>
        <w:sz w:val="20"/>
        <w:szCs w:val="20"/>
      </w:rPr>
      <w:fldChar w:fldCharType="begin"/>
    </w:r>
    <w:r w:rsidRPr="005D2F2B">
      <w:rPr>
        <w:rStyle w:val="PageNumber"/>
        <w:smallCaps/>
        <w:color w:val="FFFFFF"/>
        <w:sz w:val="20"/>
        <w:szCs w:val="20"/>
      </w:rPr>
      <w:instrText xml:space="preserve"> PAGE </w:instrText>
    </w:r>
    <w:r w:rsidRPr="005D2F2B">
      <w:rPr>
        <w:rStyle w:val="PageNumber"/>
        <w:smallCaps/>
        <w:color w:val="FFFFFF"/>
        <w:sz w:val="20"/>
        <w:szCs w:val="20"/>
      </w:rPr>
      <w:fldChar w:fldCharType="separate"/>
    </w:r>
    <w:r>
      <w:rPr>
        <w:rStyle w:val="PageNumber"/>
        <w:smallCaps/>
        <w:noProof/>
        <w:color w:val="FFFFFF"/>
        <w:sz w:val="20"/>
        <w:szCs w:val="20"/>
      </w:rPr>
      <w:t>2</w:t>
    </w:r>
    <w:r w:rsidRPr="005D2F2B">
      <w:rPr>
        <w:rStyle w:val="PageNumber"/>
        <w:smallCaps/>
        <w:color w:val="FFFFFF"/>
        <w:sz w:val="20"/>
        <w:szCs w:val="2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8A9" w:rsidRPr="005D2F2B" w:rsidRDefault="009E38A9" w:rsidP="005D2F2B">
    <w:pPr>
      <w:pStyle w:val="Header"/>
      <w:shd w:val="clear" w:color="auto" w:fill="C8092B"/>
      <w:tabs>
        <w:tab w:val="clear" w:pos="4536"/>
        <w:tab w:val="clear" w:pos="9072"/>
        <w:tab w:val="left" w:pos="180"/>
        <w:tab w:val="left" w:pos="1903"/>
        <w:tab w:val="right" w:pos="8820"/>
      </w:tabs>
      <w:rPr>
        <w:smallCaps/>
        <w:color w:val="FFFFFF"/>
        <w:sz w:val="20"/>
        <w:szCs w:val="20"/>
      </w:rPr>
    </w:pPr>
    <w:r w:rsidRPr="005D2F2B">
      <w:rPr>
        <w:rStyle w:val="PageNumber"/>
        <w:smallCaps/>
        <w:color w:val="FFFFFF"/>
        <w:sz w:val="20"/>
        <w:szCs w:val="20"/>
      </w:rPr>
      <w:tab/>
    </w:r>
    <w:r w:rsidRPr="005D2F2B">
      <w:rPr>
        <w:rStyle w:val="PageNumber"/>
        <w:smallCaps/>
        <w:color w:val="FFFFFF"/>
        <w:sz w:val="20"/>
        <w:szCs w:val="20"/>
      </w:rPr>
      <w:fldChar w:fldCharType="begin"/>
    </w:r>
    <w:r w:rsidRPr="005D2F2B">
      <w:rPr>
        <w:rStyle w:val="PageNumber"/>
        <w:smallCaps/>
        <w:color w:val="FFFFFF"/>
        <w:sz w:val="20"/>
        <w:szCs w:val="20"/>
      </w:rPr>
      <w:instrText xml:space="preserve"> PAGE </w:instrText>
    </w:r>
    <w:r w:rsidRPr="005D2F2B">
      <w:rPr>
        <w:rStyle w:val="PageNumber"/>
        <w:smallCaps/>
        <w:color w:val="FFFFFF"/>
        <w:sz w:val="20"/>
        <w:szCs w:val="20"/>
      </w:rPr>
      <w:fldChar w:fldCharType="separate"/>
    </w:r>
    <w:r>
      <w:rPr>
        <w:rStyle w:val="PageNumber"/>
        <w:smallCaps/>
        <w:noProof/>
        <w:color w:val="FFFFFF"/>
        <w:sz w:val="20"/>
        <w:szCs w:val="20"/>
      </w:rPr>
      <w:t>4</w:t>
    </w:r>
    <w:r w:rsidRPr="005D2F2B">
      <w:rPr>
        <w:rStyle w:val="PageNumber"/>
        <w:smallCaps/>
        <w:color w:val="FFFFFF"/>
        <w:sz w:val="20"/>
        <w:szCs w:val="20"/>
      </w:rPr>
      <w:fldChar w:fldCharType="end"/>
    </w:r>
    <w:r w:rsidRPr="005D2F2B">
      <w:rPr>
        <w:rStyle w:val="PageNumber"/>
        <w:smallCaps/>
        <w:color w:val="FFFFFF"/>
        <w:sz w:val="20"/>
        <w:szCs w:val="20"/>
      </w:rPr>
      <w:tab/>
    </w:r>
    <w:r>
      <w:rPr>
        <w:rStyle w:val="PageNumber"/>
        <w:smallCaps/>
        <w:color w:val="FFFFFF"/>
        <w:sz w:val="20"/>
        <w:szCs w:val="20"/>
      </w:rPr>
      <w:tab/>
      <w:t>Retour sur deux ans de politique du logement en outre-mer</w:t>
    </w:r>
  </w:p>
  <w:p w:rsidR="009E38A9" w:rsidRPr="005D2F2B" w:rsidRDefault="009E38A9" w:rsidP="00C436D8">
    <w:pPr>
      <w:pStyle w:val="Header"/>
      <w:tabs>
        <w:tab w:val="clear" w:pos="9072"/>
        <w:tab w:val="right" w:pos="9000"/>
      </w:tabs>
      <w:ind w:right="-110"/>
      <w:rPr>
        <w:color w:val="FFFFFF"/>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8A9" w:rsidRPr="003B7E86" w:rsidRDefault="009E38A9" w:rsidP="00D75388">
    <w:pPr>
      <w:pStyle w:val="Header"/>
      <w:shd w:val="clear" w:color="auto" w:fill="C8092B"/>
      <w:tabs>
        <w:tab w:val="clear" w:pos="4536"/>
        <w:tab w:val="clear" w:pos="9072"/>
        <w:tab w:val="left" w:pos="180"/>
        <w:tab w:val="left" w:pos="1903"/>
        <w:tab w:val="right" w:pos="8820"/>
      </w:tabs>
      <w:rPr>
        <w:smallCaps/>
        <w:color w:val="FFFFFF"/>
        <w:sz w:val="20"/>
        <w:szCs w:val="20"/>
      </w:rPr>
    </w:pPr>
    <w:r>
      <w:rPr>
        <w:rStyle w:val="PageNumber"/>
        <w:smallCaps/>
        <w:color w:val="FFFFFF"/>
        <w:sz w:val="20"/>
        <w:szCs w:val="20"/>
      </w:rPr>
      <w:t>aide juridictionnelle : le temps de la décision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A2713C"/>
    <w:lvl w:ilvl="0">
      <w:start w:val="1"/>
      <w:numFmt w:val="bullet"/>
      <w:lvlText w:val=""/>
      <w:lvlJc w:val="left"/>
      <w:pPr>
        <w:tabs>
          <w:tab w:val="num" w:pos="360"/>
        </w:tabs>
        <w:ind w:left="360" w:hanging="360"/>
      </w:pPr>
      <w:rPr>
        <w:rFonts w:ascii="Symbol" w:hAnsi="Symbol" w:cs="Symbol" w:hint="default"/>
      </w:rPr>
    </w:lvl>
  </w:abstractNum>
  <w:abstractNum w:abstractNumId="1">
    <w:nsid w:val="0D2611F5"/>
    <w:multiLevelType w:val="hybridMultilevel"/>
    <w:tmpl w:val="8010515E"/>
    <w:lvl w:ilvl="0" w:tplc="D8E2FF6C">
      <w:start w:val="1"/>
      <w:numFmt w:val="decimal"/>
      <w:lvlText w:val="%1."/>
      <w:lvlJc w:val="left"/>
      <w:pPr>
        <w:tabs>
          <w:tab w:val="num" w:pos="720"/>
        </w:tabs>
        <w:ind w:left="720" w:hanging="360"/>
      </w:pPr>
    </w:lvl>
    <w:lvl w:ilvl="1" w:tplc="99E42E48" w:tentative="1">
      <w:start w:val="1"/>
      <w:numFmt w:val="lowerLetter"/>
      <w:lvlText w:val="%2."/>
      <w:lvlJc w:val="left"/>
      <w:pPr>
        <w:tabs>
          <w:tab w:val="num" w:pos="1440"/>
        </w:tabs>
        <w:ind w:left="1440" w:hanging="360"/>
      </w:pPr>
    </w:lvl>
    <w:lvl w:ilvl="2" w:tplc="F5AC76F4" w:tentative="1">
      <w:start w:val="1"/>
      <w:numFmt w:val="lowerRoman"/>
      <w:lvlText w:val="%3."/>
      <w:lvlJc w:val="right"/>
      <w:pPr>
        <w:tabs>
          <w:tab w:val="num" w:pos="2160"/>
        </w:tabs>
        <w:ind w:left="2160" w:hanging="180"/>
      </w:pPr>
    </w:lvl>
    <w:lvl w:ilvl="3" w:tplc="D30CF4F6" w:tentative="1">
      <w:start w:val="1"/>
      <w:numFmt w:val="decimal"/>
      <w:lvlText w:val="%4."/>
      <w:lvlJc w:val="left"/>
      <w:pPr>
        <w:tabs>
          <w:tab w:val="num" w:pos="2880"/>
        </w:tabs>
        <w:ind w:left="2880" w:hanging="360"/>
      </w:pPr>
    </w:lvl>
    <w:lvl w:ilvl="4" w:tplc="12C68BE0" w:tentative="1">
      <w:start w:val="1"/>
      <w:numFmt w:val="lowerLetter"/>
      <w:lvlText w:val="%5."/>
      <w:lvlJc w:val="left"/>
      <w:pPr>
        <w:tabs>
          <w:tab w:val="num" w:pos="3600"/>
        </w:tabs>
        <w:ind w:left="3600" w:hanging="360"/>
      </w:pPr>
    </w:lvl>
    <w:lvl w:ilvl="5" w:tplc="A1BAD7F4" w:tentative="1">
      <w:start w:val="1"/>
      <w:numFmt w:val="lowerRoman"/>
      <w:lvlText w:val="%6."/>
      <w:lvlJc w:val="right"/>
      <w:pPr>
        <w:tabs>
          <w:tab w:val="num" w:pos="4320"/>
        </w:tabs>
        <w:ind w:left="4320" w:hanging="180"/>
      </w:pPr>
    </w:lvl>
    <w:lvl w:ilvl="6" w:tplc="58F40FA6" w:tentative="1">
      <w:start w:val="1"/>
      <w:numFmt w:val="decimal"/>
      <w:lvlText w:val="%7."/>
      <w:lvlJc w:val="left"/>
      <w:pPr>
        <w:tabs>
          <w:tab w:val="num" w:pos="5040"/>
        </w:tabs>
        <w:ind w:left="5040" w:hanging="360"/>
      </w:pPr>
    </w:lvl>
    <w:lvl w:ilvl="7" w:tplc="BF826024" w:tentative="1">
      <w:start w:val="1"/>
      <w:numFmt w:val="lowerLetter"/>
      <w:lvlText w:val="%8."/>
      <w:lvlJc w:val="left"/>
      <w:pPr>
        <w:tabs>
          <w:tab w:val="num" w:pos="5760"/>
        </w:tabs>
        <w:ind w:left="5760" w:hanging="360"/>
      </w:pPr>
    </w:lvl>
    <w:lvl w:ilvl="8" w:tplc="C906986C" w:tentative="1">
      <w:start w:val="1"/>
      <w:numFmt w:val="lowerRoman"/>
      <w:lvlText w:val="%9."/>
      <w:lvlJc w:val="right"/>
      <w:pPr>
        <w:tabs>
          <w:tab w:val="num" w:pos="6480"/>
        </w:tabs>
        <w:ind w:left="6480" w:hanging="180"/>
      </w:pPr>
    </w:lvl>
  </w:abstractNum>
  <w:abstractNum w:abstractNumId="2">
    <w:nsid w:val="1D4356F8"/>
    <w:multiLevelType w:val="hybridMultilevel"/>
    <w:tmpl w:val="0C2C6E42"/>
    <w:lvl w:ilvl="0" w:tplc="7A80F21E">
      <w:start w:val="1"/>
      <w:numFmt w:val="bullet"/>
      <w:lvlText w:val=""/>
      <w:lvlJc w:val="left"/>
      <w:pPr>
        <w:tabs>
          <w:tab w:val="num" w:pos="720"/>
        </w:tabs>
        <w:ind w:left="720" w:hanging="360"/>
      </w:pPr>
      <w:rPr>
        <w:rFonts w:ascii="Symbol" w:hAnsi="Symbol" w:cs="Symbol" w:hint="default"/>
      </w:rPr>
    </w:lvl>
    <w:lvl w:ilvl="1" w:tplc="2214DE84" w:tentative="1">
      <w:start w:val="1"/>
      <w:numFmt w:val="bullet"/>
      <w:lvlText w:val="o"/>
      <w:lvlJc w:val="left"/>
      <w:pPr>
        <w:tabs>
          <w:tab w:val="num" w:pos="1440"/>
        </w:tabs>
        <w:ind w:left="1440" w:hanging="360"/>
      </w:pPr>
      <w:rPr>
        <w:rFonts w:ascii="Courier New" w:hAnsi="Courier New" w:cs="Courier New" w:hint="default"/>
      </w:rPr>
    </w:lvl>
    <w:lvl w:ilvl="2" w:tplc="271E34D8" w:tentative="1">
      <w:start w:val="1"/>
      <w:numFmt w:val="bullet"/>
      <w:lvlText w:val=""/>
      <w:lvlJc w:val="left"/>
      <w:pPr>
        <w:tabs>
          <w:tab w:val="num" w:pos="2160"/>
        </w:tabs>
        <w:ind w:left="2160" w:hanging="360"/>
      </w:pPr>
      <w:rPr>
        <w:rFonts w:ascii="Wingdings" w:hAnsi="Wingdings" w:cs="Wingdings" w:hint="default"/>
      </w:rPr>
    </w:lvl>
    <w:lvl w:ilvl="3" w:tplc="A168B322" w:tentative="1">
      <w:start w:val="1"/>
      <w:numFmt w:val="bullet"/>
      <w:lvlText w:val=""/>
      <w:lvlJc w:val="left"/>
      <w:pPr>
        <w:tabs>
          <w:tab w:val="num" w:pos="2880"/>
        </w:tabs>
        <w:ind w:left="2880" w:hanging="360"/>
      </w:pPr>
      <w:rPr>
        <w:rFonts w:ascii="Symbol" w:hAnsi="Symbol" w:cs="Symbol" w:hint="default"/>
      </w:rPr>
    </w:lvl>
    <w:lvl w:ilvl="4" w:tplc="A78C2720" w:tentative="1">
      <w:start w:val="1"/>
      <w:numFmt w:val="bullet"/>
      <w:lvlText w:val="o"/>
      <w:lvlJc w:val="left"/>
      <w:pPr>
        <w:tabs>
          <w:tab w:val="num" w:pos="3600"/>
        </w:tabs>
        <w:ind w:left="3600" w:hanging="360"/>
      </w:pPr>
      <w:rPr>
        <w:rFonts w:ascii="Courier New" w:hAnsi="Courier New" w:cs="Courier New" w:hint="default"/>
      </w:rPr>
    </w:lvl>
    <w:lvl w:ilvl="5" w:tplc="56042AF2" w:tentative="1">
      <w:start w:val="1"/>
      <w:numFmt w:val="bullet"/>
      <w:lvlText w:val=""/>
      <w:lvlJc w:val="left"/>
      <w:pPr>
        <w:tabs>
          <w:tab w:val="num" w:pos="4320"/>
        </w:tabs>
        <w:ind w:left="4320" w:hanging="360"/>
      </w:pPr>
      <w:rPr>
        <w:rFonts w:ascii="Wingdings" w:hAnsi="Wingdings" w:cs="Wingdings" w:hint="default"/>
      </w:rPr>
    </w:lvl>
    <w:lvl w:ilvl="6" w:tplc="CAB2AB6C" w:tentative="1">
      <w:start w:val="1"/>
      <w:numFmt w:val="bullet"/>
      <w:lvlText w:val=""/>
      <w:lvlJc w:val="left"/>
      <w:pPr>
        <w:tabs>
          <w:tab w:val="num" w:pos="5040"/>
        </w:tabs>
        <w:ind w:left="5040" w:hanging="360"/>
      </w:pPr>
      <w:rPr>
        <w:rFonts w:ascii="Symbol" w:hAnsi="Symbol" w:cs="Symbol" w:hint="default"/>
      </w:rPr>
    </w:lvl>
    <w:lvl w:ilvl="7" w:tplc="D39A5108" w:tentative="1">
      <w:start w:val="1"/>
      <w:numFmt w:val="bullet"/>
      <w:lvlText w:val="o"/>
      <w:lvlJc w:val="left"/>
      <w:pPr>
        <w:tabs>
          <w:tab w:val="num" w:pos="5760"/>
        </w:tabs>
        <w:ind w:left="5760" w:hanging="360"/>
      </w:pPr>
      <w:rPr>
        <w:rFonts w:ascii="Courier New" w:hAnsi="Courier New" w:cs="Courier New" w:hint="default"/>
      </w:rPr>
    </w:lvl>
    <w:lvl w:ilvl="8" w:tplc="2CB46B7A" w:tentative="1">
      <w:start w:val="1"/>
      <w:numFmt w:val="bullet"/>
      <w:lvlText w:val=""/>
      <w:lvlJc w:val="left"/>
      <w:pPr>
        <w:tabs>
          <w:tab w:val="num" w:pos="6480"/>
        </w:tabs>
        <w:ind w:left="6480" w:hanging="360"/>
      </w:pPr>
      <w:rPr>
        <w:rFonts w:ascii="Wingdings" w:hAnsi="Wingdings" w:cs="Wingdings" w:hint="default"/>
      </w:rPr>
    </w:lvl>
  </w:abstractNum>
  <w:abstractNum w:abstractNumId="3">
    <w:nsid w:val="275809D5"/>
    <w:multiLevelType w:val="hybridMultilevel"/>
    <w:tmpl w:val="C172B7A6"/>
    <w:lvl w:ilvl="0" w:tplc="EC18F1B4">
      <w:start w:val="1"/>
      <w:numFmt w:val="bullet"/>
      <w:lvlText w:val=""/>
      <w:lvlJc w:val="left"/>
      <w:pPr>
        <w:tabs>
          <w:tab w:val="num" w:pos="720"/>
        </w:tabs>
        <w:ind w:left="720" w:hanging="360"/>
      </w:pPr>
      <w:rPr>
        <w:rFonts w:ascii="Wingdings" w:hAnsi="Wingdings" w:cs="Wingdings" w:hint="default"/>
      </w:rPr>
    </w:lvl>
    <w:lvl w:ilvl="1" w:tplc="2B549AA0">
      <w:start w:val="168"/>
      <w:numFmt w:val="bullet"/>
      <w:lvlText w:val=""/>
      <w:lvlJc w:val="left"/>
      <w:pPr>
        <w:tabs>
          <w:tab w:val="num" w:pos="1440"/>
        </w:tabs>
        <w:ind w:left="1440" w:hanging="360"/>
      </w:pPr>
      <w:rPr>
        <w:rFonts w:ascii="Wingdings" w:hAnsi="Wingdings" w:cs="Wingdings" w:hint="default"/>
      </w:rPr>
    </w:lvl>
    <w:lvl w:ilvl="2" w:tplc="6434B9DA" w:tentative="1">
      <w:start w:val="1"/>
      <w:numFmt w:val="bullet"/>
      <w:lvlText w:val=""/>
      <w:lvlJc w:val="left"/>
      <w:pPr>
        <w:tabs>
          <w:tab w:val="num" w:pos="2160"/>
        </w:tabs>
        <w:ind w:left="2160" w:hanging="360"/>
      </w:pPr>
      <w:rPr>
        <w:rFonts w:ascii="Wingdings" w:hAnsi="Wingdings" w:cs="Wingdings" w:hint="default"/>
      </w:rPr>
    </w:lvl>
    <w:lvl w:ilvl="3" w:tplc="84A64650" w:tentative="1">
      <w:start w:val="1"/>
      <w:numFmt w:val="bullet"/>
      <w:lvlText w:val=""/>
      <w:lvlJc w:val="left"/>
      <w:pPr>
        <w:tabs>
          <w:tab w:val="num" w:pos="2880"/>
        </w:tabs>
        <w:ind w:left="2880" w:hanging="360"/>
      </w:pPr>
      <w:rPr>
        <w:rFonts w:ascii="Wingdings" w:hAnsi="Wingdings" w:cs="Wingdings" w:hint="default"/>
      </w:rPr>
    </w:lvl>
    <w:lvl w:ilvl="4" w:tplc="C42C469C" w:tentative="1">
      <w:start w:val="1"/>
      <w:numFmt w:val="bullet"/>
      <w:lvlText w:val=""/>
      <w:lvlJc w:val="left"/>
      <w:pPr>
        <w:tabs>
          <w:tab w:val="num" w:pos="3600"/>
        </w:tabs>
        <w:ind w:left="3600" w:hanging="360"/>
      </w:pPr>
      <w:rPr>
        <w:rFonts w:ascii="Wingdings" w:hAnsi="Wingdings" w:cs="Wingdings" w:hint="default"/>
      </w:rPr>
    </w:lvl>
    <w:lvl w:ilvl="5" w:tplc="2C006D96" w:tentative="1">
      <w:start w:val="1"/>
      <w:numFmt w:val="bullet"/>
      <w:lvlText w:val=""/>
      <w:lvlJc w:val="left"/>
      <w:pPr>
        <w:tabs>
          <w:tab w:val="num" w:pos="4320"/>
        </w:tabs>
        <w:ind w:left="4320" w:hanging="360"/>
      </w:pPr>
      <w:rPr>
        <w:rFonts w:ascii="Wingdings" w:hAnsi="Wingdings" w:cs="Wingdings" w:hint="default"/>
      </w:rPr>
    </w:lvl>
    <w:lvl w:ilvl="6" w:tplc="B714F710" w:tentative="1">
      <w:start w:val="1"/>
      <w:numFmt w:val="bullet"/>
      <w:lvlText w:val=""/>
      <w:lvlJc w:val="left"/>
      <w:pPr>
        <w:tabs>
          <w:tab w:val="num" w:pos="5040"/>
        </w:tabs>
        <w:ind w:left="5040" w:hanging="360"/>
      </w:pPr>
      <w:rPr>
        <w:rFonts w:ascii="Wingdings" w:hAnsi="Wingdings" w:cs="Wingdings" w:hint="default"/>
      </w:rPr>
    </w:lvl>
    <w:lvl w:ilvl="7" w:tplc="A764521A" w:tentative="1">
      <w:start w:val="1"/>
      <w:numFmt w:val="bullet"/>
      <w:lvlText w:val=""/>
      <w:lvlJc w:val="left"/>
      <w:pPr>
        <w:tabs>
          <w:tab w:val="num" w:pos="5760"/>
        </w:tabs>
        <w:ind w:left="5760" w:hanging="360"/>
      </w:pPr>
      <w:rPr>
        <w:rFonts w:ascii="Wingdings" w:hAnsi="Wingdings" w:cs="Wingdings" w:hint="default"/>
      </w:rPr>
    </w:lvl>
    <w:lvl w:ilvl="8" w:tplc="031E139E" w:tentative="1">
      <w:start w:val="1"/>
      <w:numFmt w:val="bullet"/>
      <w:lvlText w:val=""/>
      <w:lvlJc w:val="left"/>
      <w:pPr>
        <w:tabs>
          <w:tab w:val="num" w:pos="6480"/>
        </w:tabs>
        <w:ind w:left="6480" w:hanging="360"/>
      </w:pPr>
      <w:rPr>
        <w:rFonts w:ascii="Wingdings" w:hAnsi="Wingdings" w:cs="Wingdings" w:hint="default"/>
      </w:rPr>
    </w:lvl>
  </w:abstractNum>
  <w:abstractNum w:abstractNumId="4">
    <w:nsid w:val="2EA64233"/>
    <w:multiLevelType w:val="hybridMultilevel"/>
    <w:tmpl w:val="B16C051A"/>
    <w:lvl w:ilvl="0" w:tplc="DA92AE00">
      <w:start w:val="3"/>
      <w:numFmt w:val="bullet"/>
      <w:lvlText w:val="-"/>
      <w:lvlJc w:val="left"/>
      <w:pPr>
        <w:ind w:left="720" w:hanging="360"/>
      </w:pPr>
      <w:rPr>
        <w:rFonts w:ascii="Book Antiqua" w:eastAsia="Times New Roman" w:hAnsi="Book Antiqu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nsid w:val="3D8C5257"/>
    <w:multiLevelType w:val="hybridMultilevel"/>
    <w:tmpl w:val="FE523738"/>
    <w:lvl w:ilvl="0" w:tplc="C682E046">
      <w:start w:val="1"/>
      <w:numFmt w:val="bullet"/>
      <w:pStyle w:val="listeavectirets"/>
      <w:lvlText w:val=""/>
      <w:lvlJc w:val="left"/>
      <w:pPr>
        <w:tabs>
          <w:tab w:val="num" w:pos="1191"/>
        </w:tabs>
        <w:ind w:left="1191" w:hanging="284"/>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4D4A4707"/>
    <w:multiLevelType w:val="hybridMultilevel"/>
    <w:tmpl w:val="AC70F18E"/>
    <w:lvl w:ilvl="0" w:tplc="0240BAD2">
      <w:start w:val="1"/>
      <w:numFmt w:val="bullet"/>
      <w:lvlText w:val=""/>
      <w:lvlJc w:val="left"/>
      <w:pPr>
        <w:tabs>
          <w:tab w:val="num" w:pos="360"/>
        </w:tabs>
        <w:ind w:left="360" w:hanging="360"/>
      </w:pPr>
      <w:rPr>
        <w:rFonts w:ascii="Symbol" w:hAnsi="Symbol" w:cs="Symbol" w:hint="default"/>
      </w:rPr>
    </w:lvl>
    <w:lvl w:ilvl="1" w:tplc="B178B54E" w:tentative="1">
      <w:start w:val="1"/>
      <w:numFmt w:val="bullet"/>
      <w:lvlText w:val="o"/>
      <w:lvlJc w:val="left"/>
      <w:pPr>
        <w:tabs>
          <w:tab w:val="num" w:pos="1080"/>
        </w:tabs>
        <w:ind w:left="1080" w:hanging="360"/>
      </w:pPr>
      <w:rPr>
        <w:rFonts w:ascii="Courier New" w:hAnsi="Courier New" w:cs="Courier New" w:hint="default"/>
      </w:rPr>
    </w:lvl>
    <w:lvl w:ilvl="2" w:tplc="1A5A46FA" w:tentative="1">
      <w:start w:val="1"/>
      <w:numFmt w:val="bullet"/>
      <w:lvlText w:val=""/>
      <w:lvlJc w:val="left"/>
      <w:pPr>
        <w:tabs>
          <w:tab w:val="num" w:pos="1800"/>
        </w:tabs>
        <w:ind w:left="1800" w:hanging="360"/>
      </w:pPr>
      <w:rPr>
        <w:rFonts w:ascii="Wingdings" w:hAnsi="Wingdings" w:cs="Wingdings" w:hint="default"/>
      </w:rPr>
    </w:lvl>
    <w:lvl w:ilvl="3" w:tplc="3BD24526" w:tentative="1">
      <w:start w:val="1"/>
      <w:numFmt w:val="bullet"/>
      <w:lvlText w:val=""/>
      <w:lvlJc w:val="left"/>
      <w:pPr>
        <w:tabs>
          <w:tab w:val="num" w:pos="2520"/>
        </w:tabs>
        <w:ind w:left="2520" w:hanging="360"/>
      </w:pPr>
      <w:rPr>
        <w:rFonts w:ascii="Symbol" w:hAnsi="Symbol" w:cs="Symbol" w:hint="default"/>
      </w:rPr>
    </w:lvl>
    <w:lvl w:ilvl="4" w:tplc="2344531A" w:tentative="1">
      <w:start w:val="1"/>
      <w:numFmt w:val="bullet"/>
      <w:lvlText w:val="o"/>
      <w:lvlJc w:val="left"/>
      <w:pPr>
        <w:tabs>
          <w:tab w:val="num" w:pos="3240"/>
        </w:tabs>
        <w:ind w:left="3240" w:hanging="360"/>
      </w:pPr>
      <w:rPr>
        <w:rFonts w:ascii="Courier New" w:hAnsi="Courier New" w:cs="Courier New" w:hint="default"/>
      </w:rPr>
    </w:lvl>
    <w:lvl w:ilvl="5" w:tplc="813E9DDC" w:tentative="1">
      <w:start w:val="1"/>
      <w:numFmt w:val="bullet"/>
      <w:lvlText w:val=""/>
      <w:lvlJc w:val="left"/>
      <w:pPr>
        <w:tabs>
          <w:tab w:val="num" w:pos="3960"/>
        </w:tabs>
        <w:ind w:left="3960" w:hanging="360"/>
      </w:pPr>
      <w:rPr>
        <w:rFonts w:ascii="Wingdings" w:hAnsi="Wingdings" w:cs="Wingdings" w:hint="default"/>
      </w:rPr>
    </w:lvl>
    <w:lvl w:ilvl="6" w:tplc="AE58E2A8" w:tentative="1">
      <w:start w:val="1"/>
      <w:numFmt w:val="bullet"/>
      <w:lvlText w:val=""/>
      <w:lvlJc w:val="left"/>
      <w:pPr>
        <w:tabs>
          <w:tab w:val="num" w:pos="4680"/>
        </w:tabs>
        <w:ind w:left="4680" w:hanging="360"/>
      </w:pPr>
      <w:rPr>
        <w:rFonts w:ascii="Symbol" w:hAnsi="Symbol" w:cs="Symbol" w:hint="default"/>
      </w:rPr>
    </w:lvl>
    <w:lvl w:ilvl="7" w:tplc="D53CEC36" w:tentative="1">
      <w:start w:val="1"/>
      <w:numFmt w:val="bullet"/>
      <w:lvlText w:val="o"/>
      <w:lvlJc w:val="left"/>
      <w:pPr>
        <w:tabs>
          <w:tab w:val="num" w:pos="5400"/>
        </w:tabs>
        <w:ind w:left="5400" w:hanging="360"/>
      </w:pPr>
      <w:rPr>
        <w:rFonts w:ascii="Courier New" w:hAnsi="Courier New" w:cs="Courier New" w:hint="default"/>
      </w:rPr>
    </w:lvl>
    <w:lvl w:ilvl="8" w:tplc="84726FB8" w:tentative="1">
      <w:start w:val="1"/>
      <w:numFmt w:val="bullet"/>
      <w:lvlText w:val=""/>
      <w:lvlJc w:val="left"/>
      <w:pPr>
        <w:tabs>
          <w:tab w:val="num" w:pos="6120"/>
        </w:tabs>
        <w:ind w:left="6120" w:hanging="360"/>
      </w:pPr>
      <w:rPr>
        <w:rFonts w:ascii="Wingdings" w:hAnsi="Wingdings" w:cs="Wingdings" w:hint="default"/>
      </w:rPr>
    </w:lvl>
  </w:abstractNum>
  <w:abstractNum w:abstractNumId="7">
    <w:nsid w:val="4EBD730E"/>
    <w:multiLevelType w:val="multilevel"/>
    <w:tmpl w:val="FEC467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F663395"/>
    <w:multiLevelType w:val="hybridMultilevel"/>
    <w:tmpl w:val="28688DE4"/>
    <w:lvl w:ilvl="0" w:tplc="E17E33D4">
      <w:start w:val="1"/>
      <w:numFmt w:val="bullet"/>
      <w:lvlText w:val=""/>
      <w:lvlJc w:val="left"/>
      <w:pPr>
        <w:tabs>
          <w:tab w:val="num" w:pos="720"/>
        </w:tabs>
        <w:ind w:left="720" w:hanging="360"/>
      </w:pPr>
      <w:rPr>
        <w:rFonts w:ascii="Wingdings" w:hAnsi="Wingdings" w:cs="Wingdings" w:hint="default"/>
      </w:rPr>
    </w:lvl>
    <w:lvl w:ilvl="1" w:tplc="BA7A64AA">
      <w:start w:val="168"/>
      <w:numFmt w:val="bullet"/>
      <w:lvlText w:val=""/>
      <w:lvlJc w:val="left"/>
      <w:pPr>
        <w:tabs>
          <w:tab w:val="num" w:pos="1440"/>
        </w:tabs>
        <w:ind w:left="1440" w:hanging="360"/>
      </w:pPr>
      <w:rPr>
        <w:rFonts w:ascii="Wingdings" w:hAnsi="Wingdings" w:cs="Wingdings" w:hint="default"/>
      </w:rPr>
    </w:lvl>
    <w:lvl w:ilvl="2" w:tplc="6E4EFDDC" w:tentative="1">
      <w:start w:val="1"/>
      <w:numFmt w:val="bullet"/>
      <w:lvlText w:val=""/>
      <w:lvlJc w:val="left"/>
      <w:pPr>
        <w:tabs>
          <w:tab w:val="num" w:pos="2160"/>
        </w:tabs>
        <w:ind w:left="2160" w:hanging="360"/>
      </w:pPr>
      <w:rPr>
        <w:rFonts w:ascii="Wingdings" w:hAnsi="Wingdings" w:cs="Wingdings" w:hint="default"/>
      </w:rPr>
    </w:lvl>
    <w:lvl w:ilvl="3" w:tplc="AAAE4D28" w:tentative="1">
      <w:start w:val="1"/>
      <w:numFmt w:val="bullet"/>
      <w:lvlText w:val=""/>
      <w:lvlJc w:val="left"/>
      <w:pPr>
        <w:tabs>
          <w:tab w:val="num" w:pos="2880"/>
        </w:tabs>
        <w:ind w:left="2880" w:hanging="360"/>
      </w:pPr>
      <w:rPr>
        <w:rFonts w:ascii="Wingdings" w:hAnsi="Wingdings" w:cs="Wingdings" w:hint="default"/>
      </w:rPr>
    </w:lvl>
    <w:lvl w:ilvl="4" w:tplc="463824EC" w:tentative="1">
      <w:start w:val="1"/>
      <w:numFmt w:val="bullet"/>
      <w:lvlText w:val=""/>
      <w:lvlJc w:val="left"/>
      <w:pPr>
        <w:tabs>
          <w:tab w:val="num" w:pos="3600"/>
        </w:tabs>
        <w:ind w:left="3600" w:hanging="360"/>
      </w:pPr>
      <w:rPr>
        <w:rFonts w:ascii="Wingdings" w:hAnsi="Wingdings" w:cs="Wingdings" w:hint="default"/>
      </w:rPr>
    </w:lvl>
    <w:lvl w:ilvl="5" w:tplc="EC1A5050" w:tentative="1">
      <w:start w:val="1"/>
      <w:numFmt w:val="bullet"/>
      <w:lvlText w:val=""/>
      <w:lvlJc w:val="left"/>
      <w:pPr>
        <w:tabs>
          <w:tab w:val="num" w:pos="4320"/>
        </w:tabs>
        <w:ind w:left="4320" w:hanging="360"/>
      </w:pPr>
      <w:rPr>
        <w:rFonts w:ascii="Wingdings" w:hAnsi="Wingdings" w:cs="Wingdings" w:hint="default"/>
      </w:rPr>
    </w:lvl>
    <w:lvl w:ilvl="6" w:tplc="6B5E668E" w:tentative="1">
      <w:start w:val="1"/>
      <w:numFmt w:val="bullet"/>
      <w:lvlText w:val=""/>
      <w:lvlJc w:val="left"/>
      <w:pPr>
        <w:tabs>
          <w:tab w:val="num" w:pos="5040"/>
        </w:tabs>
        <w:ind w:left="5040" w:hanging="360"/>
      </w:pPr>
      <w:rPr>
        <w:rFonts w:ascii="Wingdings" w:hAnsi="Wingdings" w:cs="Wingdings" w:hint="default"/>
      </w:rPr>
    </w:lvl>
    <w:lvl w:ilvl="7" w:tplc="EFF04956" w:tentative="1">
      <w:start w:val="1"/>
      <w:numFmt w:val="bullet"/>
      <w:lvlText w:val=""/>
      <w:lvlJc w:val="left"/>
      <w:pPr>
        <w:tabs>
          <w:tab w:val="num" w:pos="5760"/>
        </w:tabs>
        <w:ind w:left="5760" w:hanging="360"/>
      </w:pPr>
      <w:rPr>
        <w:rFonts w:ascii="Wingdings" w:hAnsi="Wingdings" w:cs="Wingdings" w:hint="default"/>
      </w:rPr>
    </w:lvl>
    <w:lvl w:ilvl="8" w:tplc="D7B27BB0" w:tentative="1">
      <w:start w:val="1"/>
      <w:numFmt w:val="bullet"/>
      <w:lvlText w:val=""/>
      <w:lvlJc w:val="left"/>
      <w:pPr>
        <w:tabs>
          <w:tab w:val="num" w:pos="6480"/>
        </w:tabs>
        <w:ind w:left="6480" w:hanging="360"/>
      </w:pPr>
      <w:rPr>
        <w:rFonts w:ascii="Wingdings" w:hAnsi="Wingdings" w:cs="Wingdings" w:hint="default"/>
      </w:rPr>
    </w:lvl>
  </w:abstractNum>
  <w:abstractNum w:abstractNumId="9">
    <w:nsid w:val="5C184377"/>
    <w:multiLevelType w:val="hybridMultilevel"/>
    <w:tmpl w:val="6B728824"/>
    <w:lvl w:ilvl="0" w:tplc="F33247F8">
      <w:numFmt w:val="bullet"/>
      <w:lvlText w:val="-"/>
      <w:lvlJc w:val="left"/>
      <w:pPr>
        <w:ind w:left="720" w:hanging="360"/>
      </w:pPr>
      <w:rPr>
        <w:rFonts w:ascii="Book Antiqua" w:eastAsia="Times New Roman" w:hAnsi="Book Antiqu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0">
    <w:nsid w:val="64E32142"/>
    <w:multiLevelType w:val="hybridMultilevel"/>
    <w:tmpl w:val="37FACFCA"/>
    <w:lvl w:ilvl="0" w:tplc="FAFC494A">
      <w:start w:val="1"/>
      <w:numFmt w:val="bullet"/>
      <w:lvlText w:val=""/>
      <w:lvlJc w:val="left"/>
      <w:pPr>
        <w:tabs>
          <w:tab w:val="num" w:pos="720"/>
        </w:tabs>
        <w:ind w:left="720" w:hanging="360"/>
      </w:pPr>
      <w:rPr>
        <w:rFonts w:ascii="Wingdings" w:hAnsi="Wingdings" w:cs="Wingdings" w:hint="default"/>
      </w:rPr>
    </w:lvl>
    <w:lvl w:ilvl="1" w:tplc="1C0A1A8C">
      <w:start w:val="168"/>
      <w:numFmt w:val="bullet"/>
      <w:lvlText w:val=""/>
      <w:lvlJc w:val="left"/>
      <w:pPr>
        <w:tabs>
          <w:tab w:val="num" w:pos="720"/>
        </w:tabs>
        <w:ind w:left="720" w:hanging="360"/>
      </w:pPr>
      <w:rPr>
        <w:rFonts w:ascii="Wingdings" w:hAnsi="Wingdings" w:cs="Wingdings" w:hint="default"/>
      </w:rPr>
    </w:lvl>
    <w:lvl w:ilvl="2" w:tplc="BFBE575A" w:tentative="1">
      <w:start w:val="1"/>
      <w:numFmt w:val="bullet"/>
      <w:lvlText w:val=""/>
      <w:lvlJc w:val="left"/>
      <w:pPr>
        <w:tabs>
          <w:tab w:val="num" w:pos="2160"/>
        </w:tabs>
        <w:ind w:left="2160" w:hanging="360"/>
      </w:pPr>
      <w:rPr>
        <w:rFonts w:ascii="Wingdings" w:hAnsi="Wingdings" w:cs="Wingdings" w:hint="default"/>
      </w:rPr>
    </w:lvl>
    <w:lvl w:ilvl="3" w:tplc="99A6F71E" w:tentative="1">
      <w:start w:val="1"/>
      <w:numFmt w:val="bullet"/>
      <w:lvlText w:val=""/>
      <w:lvlJc w:val="left"/>
      <w:pPr>
        <w:tabs>
          <w:tab w:val="num" w:pos="2880"/>
        </w:tabs>
        <w:ind w:left="2880" w:hanging="360"/>
      </w:pPr>
      <w:rPr>
        <w:rFonts w:ascii="Wingdings" w:hAnsi="Wingdings" w:cs="Wingdings" w:hint="default"/>
      </w:rPr>
    </w:lvl>
    <w:lvl w:ilvl="4" w:tplc="E0DAA736" w:tentative="1">
      <w:start w:val="1"/>
      <w:numFmt w:val="bullet"/>
      <w:lvlText w:val=""/>
      <w:lvlJc w:val="left"/>
      <w:pPr>
        <w:tabs>
          <w:tab w:val="num" w:pos="3600"/>
        </w:tabs>
        <w:ind w:left="3600" w:hanging="360"/>
      </w:pPr>
      <w:rPr>
        <w:rFonts w:ascii="Wingdings" w:hAnsi="Wingdings" w:cs="Wingdings" w:hint="default"/>
      </w:rPr>
    </w:lvl>
    <w:lvl w:ilvl="5" w:tplc="5DD66F2A" w:tentative="1">
      <w:start w:val="1"/>
      <w:numFmt w:val="bullet"/>
      <w:lvlText w:val=""/>
      <w:lvlJc w:val="left"/>
      <w:pPr>
        <w:tabs>
          <w:tab w:val="num" w:pos="4320"/>
        </w:tabs>
        <w:ind w:left="4320" w:hanging="360"/>
      </w:pPr>
      <w:rPr>
        <w:rFonts w:ascii="Wingdings" w:hAnsi="Wingdings" w:cs="Wingdings" w:hint="default"/>
      </w:rPr>
    </w:lvl>
    <w:lvl w:ilvl="6" w:tplc="1BFCFD34" w:tentative="1">
      <w:start w:val="1"/>
      <w:numFmt w:val="bullet"/>
      <w:lvlText w:val=""/>
      <w:lvlJc w:val="left"/>
      <w:pPr>
        <w:tabs>
          <w:tab w:val="num" w:pos="5040"/>
        </w:tabs>
        <w:ind w:left="5040" w:hanging="360"/>
      </w:pPr>
      <w:rPr>
        <w:rFonts w:ascii="Wingdings" w:hAnsi="Wingdings" w:cs="Wingdings" w:hint="default"/>
      </w:rPr>
    </w:lvl>
    <w:lvl w:ilvl="7" w:tplc="4A4E190C" w:tentative="1">
      <w:start w:val="1"/>
      <w:numFmt w:val="bullet"/>
      <w:lvlText w:val=""/>
      <w:lvlJc w:val="left"/>
      <w:pPr>
        <w:tabs>
          <w:tab w:val="num" w:pos="5760"/>
        </w:tabs>
        <w:ind w:left="5760" w:hanging="360"/>
      </w:pPr>
      <w:rPr>
        <w:rFonts w:ascii="Wingdings" w:hAnsi="Wingdings" w:cs="Wingdings" w:hint="default"/>
      </w:rPr>
    </w:lvl>
    <w:lvl w:ilvl="8" w:tplc="2912EC18"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6F402C3B"/>
    <w:multiLevelType w:val="hybridMultilevel"/>
    <w:tmpl w:val="FEC467F6"/>
    <w:lvl w:ilvl="0" w:tplc="23C48950">
      <w:start w:val="1"/>
      <w:numFmt w:val="decimal"/>
      <w:lvlText w:val="%1."/>
      <w:lvlJc w:val="left"/>
      <w:pPr>
        <w:tabs>
          <w:tab w:val="num" w:pos="720"/>
        </w:tabs>
        <w:ind w:left="720" w:hanging="360"/>
      </w:pPr>
    </w:lvl>
    <w:lvl w:ilvl="1" w:tplc="28522CE0" w:tentative="1">
      <w:start w:val="1"/>
      <w:numFmt w:val="lowerLetter"/>
      <w:lvlText w:val="%2."/>
      <w:lvlJc w:val="left"/>
      <w:pPr>
        <w:tabs>
          <w:tab w:val="num" w:pos="1440"/>
        </w:tabs>
        <w:ind w:left="1440" w:hanging="360"/>
      </w:pPr>
    </w:lvl>
    <w:lvl w:ilvl="2" w:tplc="F31649F8" w:tentative="1">
      <w:start w:val="1"/>
      <w:numFmt w:val="lowerRoman"/>
      <w:lvlText w:val="%3."/>
      <w:lvlJc w:val="right"/>
      <w:pPr>
        <w:tabs>
          <w:tab w:val="num" w:pos="2160"/>
        </w:tabs>
        <w:ind w:left="2160" w:hanging="180"/>
      </w:pPr>
    </w:lvl>
    <w:lvl w:ilvl="3" w:tplc="3B5EDA62" w:tentative="1">
      <w:start w:val="1"/>
      <w:numFmt w:val="decimal"/>
      <w:lvlText w:val="%4."/>
      <w:lvlJc w:val="left"/>
      <w:pPr>
        <w:tabs>
          <w:tab w:val="num" w:pos="2880"/>
        </w:tabs>
        <w:ind w:left="2880" w:hanging="360"/>
      </w:pPr>
    </w:lvl>
    <w:lvl w:ilvl="4" w:tplc="85B860A6" w:tentative="1">
      <w:start w:val="1"/>
      <w:numFmt w:val="lowerLetter"/>
      <w:lvlText w:val="%5."/>
      <w:lvlJc w:val="left"/>
      <w:pPr>
        <w:tabs>
          <w:tab w:val="num" w:pos="3600"/>
        </w:tabs>
        <w:ind w:left="3600" w:hanging="360"/>
      </w:pPr>
    </w:lvl>
    <w:lvl w:ilvl="5" w:tplc="211A5D30" w:tentative="1">
      <w:start w:val="1"/>
      <w:numFmt w:val="lowerRoman"/>
      <w:lvlText w:val="%6."/>
      <w:lvlJc w:val="right"/>
      <w:pPr>
        <w:tabs>
          <w:tab w:val="num" w:pos="4320"/>
        </w:tabs>
        <w:ind w:left="4320" w:hanging="180"/>
      </w:pPr>
    </w:lvl>
    <w:lvl w:ilvl="6" w:tplc="60D09C56" w:tentative="1">
      <w:start w:val="1"/>
      <w:numFmt w:val="decimal"/>
      <w:lvlText w:val="%7."/>
      <w:lvlJc w:val="left"/>
      <w:pPr>
        <w:tabs>
          <w:tab w:val="num" w:pos="5040"/>
        </w:tabs>
        <w:ind w:left="5040" w:hanging="360"/>
      </w:pPr>
    </w:lvl>
    <w:lvl w:ilvl="7" w:tplc="3A2E7FE2" w:tentative="1">
      <w:start w:val="1"/>
      <w:numFmt w:val="lowerLetter"/>
      <w:lvlText w:val="%8."/>
      <w:lvlJc w:val="left"/>
      <w:pPr>
        <w:tabs>
          <w:tab w:val="num" w:pos="5760"/>
        </w:tabs>
        <w:ind w:left="5760" w:hanging="360"/>
      </w:pPr>
    </w:lvl>
    <w:lvl w:ilvl="8" w:tplc="8C4A7124" w:tentative="1">
      <w:start w:val="1"/>
      <w:numFmt w:val="lowerRoman"/>
      <w:lvlText w:val="%9."/>
      <w:lvlJc w:val="right"/>
      <w:pPr>
        <w:tabs>
          <w:tab w:val="num" w:pos="6480"/>
        </w:tabs>
        <w:ind w:left="6480" w:hanging="180"/>
      </w:pPr>
    </w:lvl>
  </w:abstractNum>
  <w:abstractNum w:abstractNumId="12">
    <w:nsid w:val="79BE335B"/>
    <w:multiLevelType w:val="hybridMultilevel"/>
    <w:tmpl w:val="DD8274E2"/>
    <w:lvl w:ilvl="0" w:tplc="878443C0">
      <w:start w:val="1"/>
      <w:numFmt w:val="decimal"/>
      <w:lvlText w:val="%1."/>
      <w:lvlJc w:val="left"/>
      <w:pPr>
        <w:tabs>
          <w:tab w:val="num" w:pos="360"/>
        </w:tabs>
        <w:ind w:left="360" w:hanging="360"/>
      </w:pPr>
      <w:rPr>
        <w:rFonts w:hint="default"/>
        <w:b/>
        <w:bCs/>
        <w:i w:val="0"/>
        <w:iCs w:val="0"/>
        <w:color w:val="FF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1"/>
  </w:num>
  <w:num w:numId="4">
    <w:abstractNumId w:val="11"/>
  </w:num>
  <w:num w:numId="5">
    <w:abstractNumId w:val="7"/>
  </w:num>
  <w:num w:numId="6">
    <w:abstractNumId w:val="6"/>
  </w:num>
  <w:num w:numId="7">
    <w:abstractNumId w:val="6"/>
  </w:num>
  <w:num w:numId="8">
    <w:abstractNumId w:val="2"/>
  </w:num>
  <w:num w:numId="9">
    <w:abstractNumId w:val="2"/>
  </w:num>
  <w:num w:numId="10">
    <w:abstractNumId w:val="0"/>
  </w:num>
  <w:num w:numId="11">
    <w:abstractNumId w:val="5"/>
  </w:num>
  <w:num w:numId="12">
    <w:abstractNumId w:val="3"/>
  </w:num>
  <w:num w:numId="13">
    <w:abstractNumId w:val="10"/>
  </w:num>
  <w:num w:numId="14">
    <w:abstractNumId w:val="8"/>
  </w:num>
  <w:num w:numId="15">
    <w:abstractNumId w:val="4"/>
  </w:num>
  <w:num w:numId="16">
    <w:abstractNumId w:val="1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801"/>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71A2"/>
    <w:rsid w:val="0000079A"/>
    <w:rsid w:val="000017E1"/>
    <w:rsid w:val="00001F51"/>
    <w:rsid w:val="00002E3F"/>
    <w:rsid w:val="00004E70"/>
    <w:rsid w:val="000052CF"/>
    <w:rsid w:val="00005336"/>
    <w:rsid w:val="00005F0A"/>
    <w:rsid w:val="00006BDC"/>
    <w:rsid w:val="00010849"/>
    <w:rsid w:val="0001257E"/>
    <w:rsid w:val="00012998"/>
    <w:rsid w:val="000129EF"/>
    <w:rsid w:val="0001437E"/>
    <w:rsid w:val="000151C4"/>
    <w:rsid w:val="000173EC"/>
    <w:rsid w:val="00021AE3"/>
    <w:rsid w:val="00024152"/>
    <w:rsid w:val="00025BD8"/>
    <w:rsid w:val="00025CA8"/>
    <w:rsid w:val="00025D40"/>
    <w:rsid w:val="000266F6"/>
    <w:rsid w:val="00030C9E"/>
    <w:rsid w:val="0003260D"/>
    <w:rsid w:val="00032F9E"/>
    <w:rsid w:val="0003402D"/>
    <w:rsid w:val="00034702"/>
    <w:rsid w:val="00035BC8"/>
    <w:rsid w:val="00036927"/>
    <w:rsid w:val="000374AF"/>
    <w:rsid w:val="000376CF"/>
    <w:rsid w:val="000415A2"/>
    <w:rsid w:val="00041A7D"/>
    <w:rsid w:val="00042628"/>
    <w:rsid w:val="000438FD"/>
    <w:rsid w:val="00045D15"/>
    <w:rsid w:val="00045E4C"/>
    <w:rsid w:val="00047E02"/>
    <w:rsid w:val="00047F46"/>
    <w:rsid w:val="00050927"/>
    <w:rsid w:val="000543C9"/>
    <w:rsid w:val="00054E74"/>
    <w:rsid w:val="00054EC4"/>
    <w:rsid w:val="000559EE"/>
    <w:rsid w:val="0005662B"/>
    <w:rsid w:val="000567DF"/>
    <w:rsid w:val="00063443"/>
    <w:rsid w:val="00063C10"/>
    <w:rsid w:val="00065CF7"/>
    <w:rsid w:val="00066CE7"/>
    <w:rsid w:val="00067DE4"/>
    <w:rsid w:val="00071CBD"/>
    <w:rsid w:val="00072E24"/>
    <w:rsid w:val="000738C9"/>
    <w:rsid w:val="00076E8E"/>
    <w:rsid w:val="0007788B"/>
    <w:rsid w:val="000800B8"/>
    <w:rsid w:val="0008042A"/>
    <w:rsid w:val="00082599"/>
    <w:rsid w:val="00083208"/>
    <w:rsid w:val="00083501"/>
    <w:rsid w:val="00083C08"/>
    <w:rsid w:val="000843D6"/>
    <w:rsid w:val="00084660"/>
    <w:rsid w:val="00084ADA"/>
    <w:rsid w:val="000852BA"/>
    <w:rsid w:val="00086A64"/>
    <w:rsid w:val="000874FA"/>
    <w:rsid w:val="000914EB"/>
    <w:rsid w:val="000922F8"/>
    <w:rsid w:val="00092654"/>
    <w:rsid w:val="00094228"/>
    <w:rsid w:val="000969D3"/>
    <w:rsid w:val="000A0CB9"/>
    <w:rsid w:val="000A18FD"/>
    <w:rsid w:val="000A3D9E"/>
    <w:rsid w:val="000A7E9C"/>
    <w:rsid w:val="000B0936"/>
    <w:rsid w:val="000B0BA5"/>
    <w:rsid w:val="000B0D52"/>
    <w:rsid w:val="000B3427"/>
    <w:rsid w:val="000B3BE6"/>
    <w:rsid w:val="000B531F"/>
    <w:rsid w:val="000B7282"/>
    <w:rsid w:val="000C0554"/>
    <w:rsid w:val="000C35D3"/>
    <w:rsid w:val="000C3D1B"/>
    <w:rsid w:val="000C3DA7"/>
    <w:rsid w:val="000C4962"/>
    <w:rsid w:val="000C4B12"/>
    <w:rsid w:val="000C4DDD"/>
    <w:rsid w:val="000C5FDC"/>
    <w:rsid w:val="000C78D5"/>
    <w:rsid w:val="000D05F1"/>
    <w:rsid w:val="000D1009"/>
    <w:rsid w:val="000D137F"/>
    <w:rsid w:val="000D219C"/>
    <w:rsid w:val="000D292E"/>
    <w:rsid w:val="000D336C"/>
    <w:rsid w:val="000D47EF"/>
    <w:rsid w:val="000D50BE"/>
    <w:rsid w:val="000E05C5"/>
    <w:rsid w:val="000E1595"/>
    <w:rsid w:val="000E1770"/>
    <w:rsid w:val="000E1B94"/>
    <w:rsid w:val="000E4111"/>
    <w:rsid w:val="000E439D"/>
    <w:rsid w:val="000E4459"/>
    <w:rsid w:val="000E5695"/>
    <w:rsid w:val="000E6599"/>
    <w:rsid w:val="000F0AB8"/>
    <w:rsid w:val="000F0E16"/>
    <w:rsid w:val="000F130F"/>
    <w:rsid w:val="000F44D6"/>
    <w:rsid w:val="000F56DF"/>
    <w:rsid w:val="000F642A"/>
    <w:rsid w:val="000F758E"/>
    <w:rsid w:val="000F7CD8"/>
    <w:rsid w:val="00100EBB"/>
    <w:rsid w:val="001030A4"/>
    <w:rsid w:val="001035B3"/>
    <w:rsid w:val="00104514"/>
    <w:rsid w:val="00107A5B"/>
    <w:rsid w:val="001100CF"/>
    <w:rsid w:val="00111367"/>
    <w:rsid w:val="00111F93"/>
    <w:rsid w:val="00112733"/>
    <w:rsid w:val="00113295"/>
    <w:rsid w:val="001171D9"/>
    <w:rsid w:val="001176CC"/>
    <w:rsid w:val="00123253"/>
    <w:rsid w:val="00125AF2"/>
    <w:rsid w:val="001309B0"/>
    <w:rsid w:val="00130C56"/>
    <w:rsid w:val="001315FF"/>
    <w:rsid w:val="00132736"/>
    <w:rsid w:val="0013277C"/>
    <w:rsid w:val="0013449D"/>
    <w:rsid w:val="0014217D"/>
    <w:rsid w:val="00143743"/>
    <w:rsid w:val="00144F77"/>
    <w:rsid w:val="00145DE8"/>
    <w:rsid w:val="00151341"/>
    <w:rsid w:val="001529CD"/>
    <w:rsid w:val="00152B0F"/>
    <w:rsid w:val="00152B2E"/>
    <w:rsid w:val="00152E0F"/>
    <w:rsid w:val="00152F47"/>
    <w:rsid w:val="001530B0"/>
    <w:rsid w:val="001537B7"/>
    <w:rsid w:val="0015570D"/>
    <w:rsid w:val="00155B88"/>
    <w:rsid w:val="001577AA"/>
    <w:rsid w:val="001606AF"/>
    <w:rsid w:val="00160B78"/>
    <w:rsid w:val="00160C76"/>
    <w:rsid w:val="00160DB7"/>
    <w:rsid w:val="00162EF3"/>
    <w:rsid w:val="001633BE"/>
    <w:rsid w:val="00163FA7"/>
    <w:rsid w:val="00164E61"/>
    <w:rsid w:val="001669AE"/>
    <w:rsid w:val="00166A97"/>
    <w:rsid w:val="00167347"/>
    <w:rsid w:val="001678FC"/>
    <w:rsid w:val="00170BF1"/>
    <w:rsid w:val="00170D2C"/>
    <w:rsid w:val="00176E9B"/>
    <w:rsid w:val="00182599"/>
    <w:rsid w:val="00183F7A"/>
    <w:rsid w:val="00187C2E"/>
    <w:rsid w:val="00193FF8"/>
    <w:rsid w:val="001943FD"/>
    <w:rsid w:val="00194A3B"/>
    <w:rsid w:val="0019513A"/>
    <w:rsid w:val="00195CE5"/>
    <w:rsid w:val="0019624C"/>
    <w:rsid w:val="001A12ED"/>
    <w:rsid w:val="001A25D0"/>
    <w:rsid w:val="001A2FEA"/>
    <w:rsid w:val="001A36D0"/>
    <w:rsid w:val="001A7A1A"/>
    <w:rsid w:val="001B0ABC"/>
    <w:rsid w:val="001B12B9"/>
    <w:rsid w:val="001B1550"/>
    <w:rsid w:val="001B32A7"/>
    <w:rsid w:val="001B3EC2"/>
    <w:rsid w:val="001B4DCE"/>
    <w:rsid w:val="001B5E2A"/>
    <w:rsid w:val="001C01A4"/>
    <w:rsid w:val="001C01FA"/>
    <w:rsid w:val="001C246F"/>
    <w:rsid w:val="001D0C2A"/>
    <w:rsid w:val="001D1796"/>
    <w:rsid w:val="001D22C7"/>
    <w:rsid w:val="001D27A2"/>
    <w:rsid w:val="001D4548"/>
    <w:rsid w:val="001D6C68"/>
    <w:rsid w:val="001E0EDD"/>
    <w:rsid w:val="001E1920"/>
    <w:rsid w:val="001E1A23"/>
    <w:rsid w:val="001E1DF6"/>
    <w:rsid w:val="001E28FE"/>
    <w:rsid w:val="001E39E6"/>
    <w:rsid w:val="001E3AEF"/>
    <w:rsid w:val="001E6D1D"/>
    <w:rsid w:val="001F0752"/>
    <w:rsid w:val="001F0F12"/>
    <w:rsid w:val="001F1404"/>
    <w:rsid w:val="001F182A"/>
    <w:rsid w:val="001F18E3"/>
    <w:rsid w:val="001F1E0E"/>
    <w:rsid w:val="001F2FCA"/>
    <w:rsid w:val="001F3517"/>
    <w:rsid w:val="001F3693"/>
    <w:rsid w:val="001F429F"/>
    <w:rsid w:val="001F5C50"/>
    <w:rsid w:val="001F6A76"/>
    <w:rsid w:val="001F7105"/>
    <w:rsid w:val="00202AB0"/>
    <w:rsid w:val="002059CC"/>
    <w:rsid w:val="0020662E"/>
    <w:rsid w:val="00206D3F"/>
    <w:rsid w:val="002072D2"/>
    <w:rsid w:val="002073F7"/>
    <w:rsid w:val="002103CE"/>
    <w:rsid w:val="00211E72"/>
    <w:rsid w:val="00213B2E"/>
    <w:rsid w:val="00213CDA"/>
    <w:rsid w:val="00215240"/>
    <w:rsid w:val="00215CC6"/>
    <w:rsid w:val="002164BE"/>
    <w:rsid w:val="00221B62"/>
    <w:rsid w:val="002237C7"/>
    <w:rsid w:val="00224AB6"/>
    <w:rsid w:val="002251AC"/>
    <w:rsid w:val="00225249"/>
    <w:rsid w:val="00227F92"/>
    <w:rsid w:val="002302A5"/>
    <w:rsid w:val="00230375"/>
    <w:rsid w:val="0023232A"/>
    <w:rsid w:val="00232F8B"/>
    <w:rsid w:val="0023387E"/>
    <w:rsid w:val="00234AE0"/>
    <w:rsid w:val="00236F13"/>
    <w:rsid w:val="00240101"/>
    <w:rsid w:val="002411E5"/>
    <w:rsid w:val="00242619"/>
    <w:rsid w:val="0024315E"/>
    <w:rsid w:val="0024374D"/>
    <w:rsid w:val="0024575B"/>
    <w:rsid w:val="00246E21"/>
    <w:rsid w:val="00247D44"/>
    <w:rsid w:val="002504AC"/>
    <w:rsid w:val="00252004"/>
    <w:rsid w:val="002521D0"/>
    <w:rsid w:val="0025370A"/>
    <w:rsid w:val="0025440C"/>
    <w:rsid w:val="00255C1F"/>
    <w:rsid w:val="00256134"/>
    <w:rsid w:val="0026017F"/>
    <w:rsid w:val="0026162C"/>
    <w:rsid w:val="00265B2C"/>
    <w:rsid w:val="0027141C"/>
    <w:rsid w:val="00271EBC"/>
    <w:rsid w:val="00272254"/>
    <w:rsid w:val="0027292D"/>
    <w:rsid w:val="00272C8D"/>
    <w:rsid w:val="00273524"/>
    <w:rsid w:val="00273679"/>
    <w:rsid w:val="00273984"/>
    <w:rsid w:val="00275224"/>
    <w:rsid w:val="00276BF3"/>
    <w:rsid w:val="00276C7C"/>
    <w:rsid w:val="00277E59"/>
    <w:rsid w:val="0028013C"/>
    <w:rsid w:val="00280578"/>
    <w:rsid w:val="00280D10"/>
    <w:rsid w:val="00280D64"/>
    <w:rsid w:val="00287D3B"/>
    <w:rsid w:val="002907B1"/>
    <w:rsid w:val="00291DE1"/>
    <w:rsid w:val="00293F1F"/>
    <w:rsid w:val="00294A11"/>
    <w:rsid w:val="00295605"/>
    <w:rsid w:val="00297266"/>
    <w:rsid w:val="002A2DAD"/>
    <w:rsid w:val="002A3FE2"/>
    <w:rsid w:val="002A4D84"/>
    <w:rsid w:val="002A5ED6"/>
    <w:rsid w:val="002B08D3"/>
    <w:rsid w:val="002B1572"/>
    <w:rsid w:val="002B22B7"/>
    <w:rsid w:val="002B2D05"/>
    <w:rsid w:val="002B3DB6"/>
    <w:rsid w:val="002B3E4D"/>
    <w:rsid w:val="002B53D7"/>
    <w:rsid w:val="002B5D1F"/>
    <w:rsid w:val="002B5FAC"/>
    <w:rsid w:val="002B6888"/>
    <w:rsid w:val="002B7CD1"/>
    <w:rsid w:val="002C22B6"/>
    <w:rsid w:val="002C4311"/>
    <w:rsid w:val="002C4806"/>
    <w:rsid w:val="002C4AA9"/>
    <w:rsid w:val="002C6CA7"/>
    <w:rsid w:val="002C7CF4"/>
    <w:rsid w:val="002D1B0F"/>
    <w:rsid w:val="002D2D1E"/>
    <w:rsid w:val="002D451D"/>
    <w:rsid w:val="002D7468"/>
    <w:rsid w:val="002E02E2"/>
    <w:rsid w:val="002E3872"/>
    <w:rsid w:val="002E39FF"/>
    <w:rsid w:val="002E3DD2"/>
    <w:rsid w:val="002E5FB0"/>
    <w:rsid w:val="002E7F48"/>
    <w:rsid w:val="002F0B6D"/>
    <w:rsid w:val="002F14D8"/>
    <w:rsid w:val="002F2B96"/>
    <w:rsid w:val="002F4E31"/>
    <w:rsid w:val="00303920"/>
    <w:rsid w:val="003073DD"/>
    <w:rsid w:val="003074AB"/>
    <w:rsid w:val="003074C1"/>
    <w:rsid w:val="00307B4F"/>
    <w:rsid w:val="00312EDC"/>
    <w:rsid w:val="00313D73"/>
    <w:rsid w:val="00314EB3"/>
    <w:rsid w:val="00315D88"/>
    <w:rsid w:val="00316EFE"/>
    <w:rsid w:val="00321381"/>
    <w:rsid w:val="00321714"/>
    <w:rsid w:val="00321C6D"/>
    <w:rsid w:val="00322D7D"/>
    <w:rsid w:val="00324B60"/>
    <w:rsid w:val="003254E8"/>
    <w:rsid w:val="00325E42"/>
    <w:rsid w:val="00325FA7"/>
    <w:rsid w:val="00326216"/>
    <w:rsid w:val="00326737"/>
    <w:rsid w:val="00326B9C"/>
    <w:rsid w:val="00331F6A"/>
    <w:rsid w:val="00332F5C"/>
    <w:rsid w:val="003335CE"/>
    <w:rsid w:val="003345A3"/>
    <w:rsid w:val="00335022"/>
    <w:rsid w:val="0033628B"/>
    <w:rsid w:val="003367CD"/>
    <w:rsid w:val="00336B6E"/>
    <w:rsid w:val="0033782C"/>
    <w:rsid w:val="0034301A"/>
    <w:rsid w:val="00343734"/>
    <w:rsid w:val="0034521C"/>
    <w:rsid w:val="003463FF"/>
    <w:rsid w:val="003466BB"/>
    <w:rsid w:val="00347C8F"/>
    <w:rsid w:val="00351958"/>
    <w:rsid w:val="0035300C"/>
    <w:rsid w:val="00354788"/>
    <w:rsid w:val="0035502B"/>
    <w:rsid w:val="0035591F"/>
    <w:rsid w:val="00364469"/>
    <w:rsid w:val="00364559"/>
    <w:rsid w:val="00365828"/>
    <w:rsid w:val="00365BBE"/>
    <w:rsid w:val="00365FA3"/>
    <w:rsid w:val="003663F4"/>
    <w:rsid w:val="003671BF"/>
    <w:rsid w:val="003728D8"/>
    <w:rsid w:val="003734DD"/>
    <w:rsid w:val="0037481C"/>
    <w:rsid w:val="003752B4"/>
    <w:rsid w:val="00376350"/>
    <w:rsid w:val="00376AB4"/>
    <w:rsid w:val="00377071"/>
    <w:rsid w:val="00382634"/>
    <w:rsid w:val="00382D6F"/>
    <w:rsid w:val="00391ED2"/>
    <w:rsid w:val="0039304B"/>
    <w:rsid w:val="00396346"/>
    <w:rsid w:val="0039664C"/>
    <w:rsid w:val="003A1000"/>
    <w:rsid w:val="003A295B"/>
    <w:rsid w:val="003A3F19"/>
    <w:rsid w:val="003A50A8"/>
    <w:rsid w:val="003A5F67"/>
    <w:rsid w:val="003A670E"/>
    <w:rsid w:val="003A7703"/>
    <w:rsid w:val="003A7C70"/>
    <w:rsid w:val="003B10FF"/>
    <w:rsid w:val="003B218E"/>
    <w:rsid w:val="003B23BA"/>
    <w:rsid w:val="003B3082"/>
    <w:rsid w:val="003B3794"/>
    <w:rsid w:val="003B3906"/>
    <w:rsid w:val="003B3CFB"/>
    <w:rsid w:val="003B4487"/>
    <w:rsid w:val="003B4781"/>
    <w:rsid w:val="003B559C"/>
    <w:rsid w:val="003B59B1"/>
    <w:rsid w:val="003B6EAA"/>
    <w:rsid w:val="003B7E86"/>
    <w:rsid w:val="003C1E93"/>
    <w:rsid w:val="003C28C6"/>
    <w:rsid w:val="003C3E36"/>
    <w:rsid w:val="003C5818"/>
    <w:rsid w:val="003C5907"/>
    <w:rsid w:val="003C7F94"/>
    <w:rsid w:val="003D17E2"/>
    <w:rsid w:val="003D19E8"/>
    <w:rsid w:val="003D597B"/>
    <w:rsid w:val="003D6E5F"/>
    <w:rsid w:val="003D7238"/>
    <w:rsid w:val="003E17FD"/>
    <w:rsid w:val="003E1ED3"/>
    <w:rsid w:val="003E37C8"/>
    <w:rsid w:val="003E6EC7"/>
    <w:rsid w:val="003E71FE"/>
    <w:rsid w:val="003E7E86"/>
    <w:rsid w:val="003F2C40"/>
    <w:rsid w:val="003F3FCA"/>
    <w:rsid w:val="003F5C3D"/>
    <w:rsid w:val="00400B74"/>
    <w:rsid w:val="00404FC4"/>
    <w:rsid w:val="00405D56"/>
    <w:rsid w:val="00406C48"/>
    <w:rsid w:val="0040731D"/>
    <w:rsid w:val="00410585"/>
    <w:rsid w:val="004106AB"/>
    <w:rsid w:val="00415195"/>
    <w:rsid w:val="004160FC"/>
    <w:rsid w:val="004168E6"/>
    <w:rsid w:val="0041756B"/>
    <w:rsid w:val="0041767A"/>
    <w:rsid w:val="00420A8C"/>
    <w:rsid w:val="00422678"/>
    <w:rsid w:val="00425DB4"/>
    <w:rsid w:val="00425DBF"/>
    <w:rsid w:val="00426BD7"/>
    <w:rsid w:val="00430397"/>
    <w:rsid w:val="00430AA2"/>
    <w:rsid w:val="0043103C"/>
    <w:rsid w:val="00433147"/>
    <w:rsid w:val="004368C6"/>
    <w:rsid w:val="00436C07"/>
    <w:rsid w:val="004374C8"/>
    <w:rsid w:val="00441F85"/>
    <w:rsid w:val="004427A0"/>
    <w:rsid w:val="004427F3"/>
    <w:rsid w:val="00442C21"/>
    <w:rsid w:val="0044344E"/>
    <w:rsid w:val="00445965"/>
    <w:rsid w:val="00446B04"/>
    <w:rsid w:val="00446BE7"/>
    <w:rsid w:val="00447516"/>
    <w:rsid w:val="004500E1"/>
    <w:rsid w:val="00450D39"/>
    <w:rsid w:val="0045105F"/>
    <w:rsid w:val="00452631"/>
    <w:rsid w:val="0045322B"/>
    <w:rsid w:val="004612FD"/>
    <w:rsid w:val="004621FF"/>
    <w:rsid w:val="00465760"/>
    <w:rsid w:val="004715E8"/>
    <w:rsid w:val="0047301F"/>
    <w:rsid w:val="004746CD"/>
    <w:rsid w:val="0047600C"/>
    <w:rsid w:val="004764B0"/>
    <w:rsid w:val="00476EEC"/>
    <w:rsid w:val="00480E68"/>
    <w:rsid w:val="00485666"/>
    <w:rsid w:val="00485AE0"/>
    <w:rsid w:val="00485B2D"/>
    <w:rsid w:val="00493FA4"/>
    <w:rsid w:val="00496E5B"/>
    <w:rsid w:val="00497815"/>
    <w:rsid w:val="004A3D8B"/>
    <w:rsid w:val="004A6133"/>
    <w:rsid w:val="004A748A"/>
    <w:rsid w:val="004A7604"/>
    <w:rsid w:val="004B3A58"/>
    <w:rsid w:val="004B5045"/>
    <w:rsid w:val="004B601E"/>
    <w:rsid w:val="004B76A1"/>
    <w:rsid w:val="004B7DB9"/>
    <w:rsid w:val="004C0BF7"/>
    <w:rsid w:val="004C345C"/>
    <w:rsid w:val="004C4574"/>
    <w:rsid w:val="004C50BD"/>
    <w:rsid w:val="004C699D"/>
    <w:rsid w:val="004D183A"/>
    <w:rsid w:val="004D1B8F"/>
    <w:rsid w:val="004D2DF4"/>
    <w:rsid w:val="004D464D"/>
    <w:rsid w:val="004E0322"/>
    <w:rsid w:val="004E0BE9"/>
    <w:rsid w:val="004E2B5D"/>
    <w:rsid w:val="004E3517"/>
    <w:rsid w:val="004F0AFB"/>
    <w:rsid w:val="004F1A64"/>
    <w:rsid w:val="004F2BBE"/>
    <w:rsid w:val="004F40B0"/>
    <w:rsid w:val="004F5803"/>
    <w:rsid w:val="0050084E"/>
    <w:rsid w:val="005016C0"/>
    <w:rsid w:val="00503CF6"/>
    <w:rsid w:val="00504DDD"/>
    <w:rsid w:val="00504FF6"/>
    <w:rsid w:val="00506F2F"/>
    <w:rsid w:val="00511333"/>
    <w:rsid w:val="00512A20"/>
    <w:rsid w:val="00513C3D"/>
    <w:rsid w:val="005140A2"/>
    <w:rsid w:val="00520574"/>
    <w:rsid w:val="00521C18"/>
    <w:rsid w:val="00522E6B"/>
    <w:rsid w:val="00523156"/>
    <w:rsid w:val="005241E2"/>
    <w:rsid w:val="005249B5"/>
    <w:rsid w:val="00525F5E"/>
    <w:rsid w:val="005266C6"/>
    <w:rsid w:val="0053206D"/>
    <w:rsid w:val="00533E98"/>
    <w:rsid w:val="0053484B"/>
    <w:rsid w:val="00535DCB"/>
    <w:rsid w:val="005373A0"/>
    <w:rsid w:val="00541518"/>
    <w:rsid w:val="005420F0"/>
    <w:rsid w:val="00542108"/>
    <w:rsid w:val="00543946"/>
    <w:rsid w:val="00543D49"/>
    <w:rsid w:val="0054494D"/>
    <w:rsid w:val="005469E4"/>
    <w:rsid w:val="00547103"/>
    <w:rsid w:val="00547958"/>
    <w:rsid w:val="00547A72"/>
    <w:rsid w:val="00551D71"/>
    <w:rsid w:val="00551EE9"/>
    <w:rsid w:val="00552A68"/>
    <w:rsid w:val="00553F67"/>
    <w:rsid w:val="005540EE"/>
    <w:rsid w:val="005549D8"/>
    <w:rsid w:val="0055536B"/>
    <w:rsid w:val="005562F8"/>
    <w:rsid w:val="0055758C"/>
    <w:rsid w:val="0055795B"/>
    <w:rsid w:val="005601C4"/>
    <w:rsid w:val="00560A9C"/>
    <w:rsid w:val="00561FFC"/>
    <w:rsid w:val="00563E3B"/>
    <w:rsid w:val="00563F19"/>
    <w:rsid w:val="005648B1"/>
    <w:rsid w:val="00566384"/>
    <w:rsid w:val="005673E4"/>
    <w:rsid w:val="00567B9E"/>
    <w:rsid w:val="00567C34"/>
    <w:rsid w:val="00567EA2"/>
    <w:rsid w:val="00570E7B"/>
    <w:rsid w:val="005723FF"/>
    <w:rsid w:val="00573333"/>
    <w:rsid w:val="00573367"/>
    <w:rsid w:val="00574341"/>
    <w:rsid w:val="00580163"/>
    <w:rsid w:val="005808D7"/>
    <w:rsid w:val="00580BCC"/>
    <w:rsid w:val="00582D79"/>
    <w:rsid w:val="00583A19"/>
    <w:rsid w:val="005849E7"/>
    <w:rsid w:val="00584D86"/>
    <w:rsid w:val="00584E84"/>
    <w:rsid w:val="00585031"/>
    <w:rsid w:val="005853E9"/>
    <w:rsid w:val="00585B3F"/>
    <w:rsid w:val="00587A89"/>
    <w:rsid w:val="00587C24"/>
    <w:rsid w:val="00590C4A"/>
    <w:rsid w:val="00592E5E"/>
    <w:rsid w:val="005936A5"/>
    <w:rsid w:val="00594ACD"/>
    <w:rsid w:val="00597850"/>
    <w:rsid w:val="005A02F0"/>
    <w:rsid w:val="005A0F8B"/>
    <w:rsid w:val="005A355E"/>
    <w:rsid w:val="005A57E8"/>
    <w:rsid w:val="005A783C"/>
    <w:rsid w:val="005B124A"/>
    <w:rsid w:val="005B33BD"/>
    <w:rsid w:val="005B4601"/>
    <w:rsid w:val="005B6A31"/>
    <w:rsid w:val="005C1A04"/>
    <w:rsid w:val="005C40A2"/>
    <w:rsid w:val="005D1283"/>
    <w:rsid w:val="005D2DE0"/>
    <w:rsid w:val="005D2F2B"/>
    <w:rsid w:val="005D490D"/>
    <w:rsid w:val="005D6221"/>
    <w:rsid w:val="005E3C81"/>
    <w:rsid w:val="005E445B"/>
    <w:rsid w:val="005E466E"/>
    <w:rsid w:val="005E6CAA"/>
    <w:rsid w:val="005E6F13"/>
    <w:rsid w:val="005E7891"/>
    <w:rsid w:val="005F07F0"/>
    <w:rsid w:val="005F12E4"/>
    <w:rsid w:val="005F1D36"/>
    <w:rsid w:val="005F36CF"/>
    <w:rsid w:val="005F39ED"/>
    <w:rsid w:val="005F5303"/>
    <w:rsid w:val="005F54EB"/>
    <w:rsid w:val="005F7C19"/>
    <w:rsid w:val="006003ED"/>
    <w:rsid w:val="0060205B"/>
    <w:rsid w:val="00610054"/>
    <w:rsid w:val="0061157E"/>
    <w:rsid w:val="0061199F"/>
    <w:rsid w:val="006133AF"/>
    <w:rsid w:val="00613984"/>
    <w:rsid w:val="00613A01"/>
    <w:rsid w:val="00614496"/>
    <w:rsid w:val="00616043"/>
    <w:rsid w:val="006163ED"/>
    <w:rsid w:val="00620B2B"/>
    <w:rsid w:val="00623416"/>
    <w:rsid w:val="00625BCD"/>
    <w:rsid w:val="006263F6"/>
    <w:rsid w:val="00627583"/>
    <w:rsid w:val="00631712"/>
    <w:rsid w:val="006317B9"/>
    <w:rsid w:val="0063344D"/>
    <w:rsid w:val="00634C12"/>
    <w:rsid w:val="006354C1"/>
    <w:rsid w:val="0064029F"/>
    <w:rsid w:val="006421AF"/>
    <w:rsid w:val="006428AF"/>
    <w:rsid w:val="00643A66"/>
    <w:rsid w:val="00644800"/>
    <w:rsid w:val="00646C73"/>
    <w:rsid w:val="006472C2"/>
    <w:rsid w:val="006518F9"/>
    <w:rsid w:val="00652556"/>
    <w:rsid w:val="00652B4B"/>
    <w:rsid w:val="00652DEC"/>
    <w:rsid w:val="0065323F"/>
    <w:rsid w:val="00655396"/>
    <w:rsid w:val="00655F76"/>
    <w:rsid w:val="006562B8"/>
    <w:rsid w:val="00657058"/>
    <w:rsid w:val="00657243"/>
    <w:rsid w:val="00660369"/>
    <w:rsid w:val="0066090D"/>
    <w:rsid w:val="0066192A"/>
    <w:rsid w:val="006620D6"/>
    <w:rsid w:val="00664B14"/>
    <w:rsid w:val="00666509"/>
    <w:rsid w:val="00667AF3"/>
    <w:rsid w:val="00667E0B"/>
    <w:rsid w:val="00672830"/>
    <w:rsid w:val="00674B37"/>
    <w:rsid w:val="006752CA"/>
    <w:rsid w:val="00676C2A"/>
    <w:rsid w:val="00677C5B"/>
    <w:rsid w:val="00677DE5"/>
    <w:rsid w:val="006826FE"/>
    <w:rsid w:val="00683351"/>
    <w:rsid w:val="006844AB"/>
    <w:rsid w:val="00684E39"/>
    <w:rsid w:val="00686085"/>
    <w:rsid w:val="00686CB8"/>
    <w:rsid w:val="0068747A"/>
    <w:rsid w:val="00687D42"/>
    <w:rsid w:val="00691C28"/>
    <w:rsid w:val="00692174"/>
    <w:rsid w:val="00693C21"/>
    <w:rsid w:val="0069439A"/>
    <w:rsid w:val="00696663"/>
    <w:rsid w:val="00696C54"/>
    <w:rsid w:val="00697A5B"/>
    <w:rsid w:val="006A17DF"/>
    <w:rsid w:val="006A39D5"/>
    <w:rsid w:val="006A7B11"/>
    <w:rsid w:val="006B0603"/>
    <w:rsid w:val="006B206C"/>
    <w:rsid w:val="006B25F2"/>
    <w:rsid w:val="006B40C0"/>
    <w:rsid w:val="006B4BBC"/>
    <w:rsid w:val="006C09DB"/>
    <w:rsid w:val="006C189A"/>
    <w:rsid w:val="006C198D"/>
    <w:rsid w:val="006C2D8A"/>
    <w:rsid w:val="006C5C34"/>
    <w:rsid w:val="006C6AB3"/>
    <w:rsid w:val="006C75B8"/>
    <w:rsid w:val="006D12FB"/>
    <w:rsid w:val="006D2480"/>
    <w:rsid w:val="006D26F6"/>
    <w:rsid w:val="006D39EE"/>
    <w:rsid w:val="006D3A99"/>
    <w:rsid w:val="006D4E71"/>
    <w:rsid w:val="006D5570"/>
    <w:rsid w:val="006D600D"/>
    <w:rsid w:val="006E0AB2"/>
    <w:rsid w:val="006E11EA"/>
    <w:rsid w:val="006E2ADF"/>
    <w:rsid w:val="006E4D1F"/>
    <w:rsid w:val="006E61B4"/>
    <w:rsid w:val="006E67A9"/>
    <w:rsid w:val="006E6F4C"/>
    <w:rsid w:val="006E7D52"/>
    <w:rsid w:val="006F0D6E"/>
    <w:rsid w:val="006F24C9"/>
    <w:rsid w:val="006F3A37"/>
    <w:rsid w:val="006F43D7"/>
    <w:rsid w:val="006F5BCB"/>
    <w:rsid w:val="006F69F4"/>
    <w:rsid w:val="006F6EEB"/>
    <w:rsid w:val="006F7344"/>
    <w:rsid w:val="006F751B"/>
    <w:rsid w:val="00700884"/>
    <w:rsid w:val="00701ABF"/>
    <w:rsid w:val="0070351A"/>
    <w:rsid w:val="00706650"/>
    <w:rsid w:val="00711647"/>
    <w:rsid w:val="00711859"/>
    <w:rsid w:val="0071245A"/>
    <w:rsid w:val="00712B2A"/>
    <w:rsid w:val="00713B2F"/>
    <w:rsid w:val="00716D08"/>
    <w:rsid w:val="00716F20"/>
    <w:rsid w:val="00721E52"/>
    <w:rsid w:val="0072622B"/>
    <w:rsid w:val="0072660E"/>
    <w:rsid w:val="0072739D"/>
    <w:rsid w:val="00730EAB"/>
    <w:rsid w:val="00731BD5"/>
    <w:rsid w:val="00732146"/>
    <w:rsid w:val="00732530"/>
    <w:rsid w:val="00733E7C"/>
    <w:rsid w:val="007374F7"/>
    <w:rsid w:val="007400E6"/>
    <w:rsid w:val="00741E25"/>
    <w:rsid w:val="0074349D"/>
    <w:rsid w:val="0075012B"/>
    <w:rsid w:val="00752584"/>
    <w:rsid w:val="007539DB"/>
    <w:rsid w:val="00754671"/>
    <w:rsid w:val="00756B5A"/>
    <w:rsid w:val="007620F1"/>
    <w:rsid w:val="00762D09"/>
    <w:rsid w:val="0076391A"/>
    <w:rsid w:val="00763DD7"/>
    <w:rsid w:val="0076532C"/>
    <w:rsid w:val="00765ACC"/>
    <w:rsid w:val="00767749"/>
    <w:rsid w:val="00767DB5"/>
    <w:rsid w:val="007702D7"/>
    <w:rsid w:val="00770BE6"/>
    <w:rsid w:val="00770CA0"/>
    <w:rsid w:val="007713D2"/>
    <w:rsid w:val="007718FD"/>
    <w:rsid w:val="00773485"/>
    <w:rsid w:val="00775494"/>
    <w:rsid w:val="00776EC3"/>
    <w:rsid w:val="007811F3"/>
    <w:rsid w:val="00783A1F"/>
    <w:rsid w:val="00783BBD"/>
    <w:rsid w:val="00783E09"/>
    <w:rsid w:val="00784546"/>
    <w:rsid w:val="0078638D"/>
    <w:rsid w:val="00786671"/>
    <w:rsid w:val="0078761D"/>
    <w:rsid w:val="00790531"/>
    <w:rsid w:val="007918B8"/>
    <w:rsid w:val="0079209B"/>
    <w:rsid w:val="007937E5"/>
    <w:rsid w:val="00793BF3"/>
    <w:rsid w:val="00794920"/>
    <w:rsid w:val="00794A46"/>
    <w:rsid w:val="00794EBE"/>
    <w:rsid w:val="00796EE6"/>
    <w:rsid w:val="00796FE0"/>
    <w:rsid w:val="00797DFB"/>
    <w:rsid w:val="007A0CCB"/>
    <w:rsid w:val="007A171B"/>
    <w:rsid w:val="007A17CC"/>
    <w:rsid w:val="007B0394"/>
    <w:rsid w:val="007B1A8E"/>
    <w:rsid w:val="007B2339"/>
    <w:rsid w:val="007B26B3"/>
    <w:rsid w:val="007B2CCA"/>
    <w:rsid w:val="007B415C"/>
    <w:rsid w:val="007B5217"/>
    <w:rsid w:val="007B6CEE"/>
    <w:rsid w:val="007B7042"/>
    <w:rsid w:val="007B71B8"/>
    <w:rsid w:val="007B766F"/>
    <w:rsid w:val="007C0010"/>
    <w:rsid w:val="007C0759"/>
    <w:rsid w:val="007C10C1"/>
    <w:rsid w:val="007C12DB"/>
    <w:rsid w:val="007C1472"/>
    <w:rsid w:val="007C4D50"/>
    <w:rsid w:val="007C7D12"/>
    <w:rsid w:val="007D118F"/>
    <w:rsid w:val="007D2FFD"/>
    <w:rsid w:val="007D38B5"/>
    <w:rsid w:val="007D6364"/>
    <w:rsid w:val="007D7FC4"/>
    <w:rsid w:val="007D7FF0"/>
    <w:rsid w:val="007E0744"/>
    <w:rsid w:val="007E1CCA"/>
    <w:rsid w:val="007E1FC0"/>
    <w:rsid w:val="007E25F9"/>
    <w:rsid w:val="007E2C02"/>
    <w:rsid w:val="007E4623"/>
    <w:rsid w:val="007E4D8E"/>
    <w:rsid w:val="007E4E26"/>
    <w:rsid w:val="007E5C33"/>
    <w:rsid w:val="007E60F0"/>
    <w:rsid w:val="007F0DDC"/>
    <w:rsid w:val="007F12F7"/>
    <w:rsid w:val="007F206D"/>
    <w:rsid w:val="007F2BED"/>
    <w:rsid w:val="007F47F2"/>
    <w:rsid w:val="007F666E"/>
    <w:rsid w:val="007F77AB"/>
    <w:rsid w:val="007F7FD0"/>
    <w:rsid w:val="00801A2F"/>
    <w:rsid w:val="00802E18"/>
    <w:rsid w:val="00804AAF"/>
    <w:rsid w:val="0080563C"/>
    <w:rsid w:val="00806120"/>
    <w:rsid w:val="0080774D"/>
    <w:rsid w:val="00812895"/>
    <w:rsid w:val="00812CA8"/>
    <w:rsid w:val="008137C0"/>
    <w:rsid w:val="008162BD"/>
    <w:rsid w:val="008165DF"/>
    <w:rsid w:val="0081796A"/>
    <w:rsid w:val="00817D31"/>
    <w:rsid w:val="00820BE4"/>
    <w:rsid w:val="008215DB"/>
    <w:rsid w:val="00824EE4"/>
    <w:rsid w:val="00825C13"/>
    <w:rsid w:val="00825F7F"/>
    <w:rsid w:val="00826E2E"/>
    <w:rsid w:val="008314B6"/>
    <w:rsid w:val="008326C1"/>
    <w:rsid w:val="008354B3"/>
    <w:rsid w:val="00835BF9"/>
    <w:rsid w:val="008372BC"/>
    <w:rsid w:val="00837D95"/>
    <w:rsid w:val="00837DAA"/>
    <w:rsid w:val="008408DA"/>
    <w:rsid w:val="00841123"/>
    <w:rsid w:val="0084127B"/>
    <w:rsid w:val="008430EF"/>
    <w:rsid w:val="00843EC8"/>
    <w:rsid w:val="0084526B"/>
    <w:rsid w:val="008503EE"/>
    <w:rsid w:val="008521F1"/>
    <w:rsid w:val="00852D30"/>
    <w:rsid w:val="00854E18"/>
    <w:rsid w:val="00855661"/>
    <w:rsid w:val="00856CC7"/>
    <w:rsid w:val="008602E2"/>
    <w:rsid w:val="00861BCB"/>
    <w:rsid w:val="00861E49"/>
    <w:rsid w:val="008641D2"/>
    <w:rsid w:val="00866717"/>
    <w:rsid w:val="00870C62"/>
    <w:rsid w:val="00877794"/>
    <w:rsid w:val="0088091C"/>
    <w:rsid w:val="00880A34"/>
    <w:rsid w:val="00880FF8"/>
    <w:rsid w:val="00881220"/>
    <w:rsid w:val="00881D1A"/>
    <w:rsid w:val="008838B8"/>
    <w:rsid w:val="00883A8D"/>
    <w:rsid w:val="00884C3F"/>
    <w:rsid w:val="00884DAF"/>
    <w:rsid w:val="008857D8"/>
    <w:rsid w:val="008870D1"/>
    <w:rsid w:val="008870E2"/>
    <w:rsid w:val="008874C1"/>
    <w:rsid w:val="008907A6"/>
    <w:rsid w:val="00890B3D"/>
    <w:rsid w:val="008915F4"/>
    <w:rsid w:val="008917F5"/>
    <w:rsid w:val="00894634"/>
    <w:rsid w:val="00897A4D"/>
    <w:rsid w:val="00897E8A"/>
    <w:rsid w:val="008A1D77"/>
    <w:rsid w:val="008A36E1"/>
    <w:rsid w:val="008A37AE"/>
    <w:rsid w:val="008A4B1F"/>
    <w:rsid w:val="008A6B5C"/>
    <w:rsid w:val="008A7930"/>
    <w:rsid w:val="008A7954"/>
    <w:rsid w:val="008B133A"/>
    <w:rsid w:val="008B2537"/>
    <w:rsid w:val="008B32B9"/>
    <w:rsid w:val="008B34CF"/>
    <w:rsid w:val="008B41DF"/>
    <w:rsid w:val="008B4D2D"/>
    <w:rsid w:val="008C0033"/>
    <w:rsid w:val="008C01BE"/>
    <w:rsid w:val="008C2548"/>
    <w:rsid w:val="008C32DB"/>
    <w:rsid w:val="008C4127"/>
    <w:rsid w:val="008C4435"/>
    <w:rsid w:val="008C4F9E"/>
    <w:rsid w:val="008C5339"/>
    <w:rsid w:val="008C73A0"/>
    <w:rsid w:val="008D2517"/>
    <w:rsid w:val="008D27D0"/>
    <w:rsid w:val="008D4422"/>
    <w:rsid w:val="008D6FC5"/>
    <w:rsid w:val="008D730E"/>
    <w:rsid w:val="008E2764"/>
    <w:rsid w:val="008E40DE"/>
    <w:rsid w:val="008E4D8D"/>
    <w:rsid w:val="008F03E7"/>
    <w:rsid w:val="008F075F"/>
    <w:rsid w:val="008F1785"/>
    <w:rsid w:val="008F6B8E"/>
    <w:rsid w:val="008F6FB7"/>
    <w:rsid w:val="008F7395"/>
    <w:rsid w:val="009015FD"/>
    <w:rsid w:val="009024F2"/>
    <w:rsid w:val="0090253C"/>
    <w:rsid w:val="009057B1"/>
    <w:rsid w:val="00905F16"/>
    <w:rsid w:val="009060ED"/>
    <w:rsid w:val="009079C0"/>
    <w:rsid w:val="00907E1A"/>
    <w:rsid w:val="00912530"/>
    <w:rsid w:val="00914339"/>
    <w:rsid w:val="00921271"/>
    <w:rsid w:val="00921F79"/>
    <w:rsid w:val="009241EB"/>
    <w:rsid w:val="00924673"/>
    <w:rsid w:val="00926F08"/>
    <w:rsid w:val="00927FF1"/>
    <w:rsid w:val="00933C39"/>
    <w:rsid w:val="009363EF"/>
    <w:rsid w:val="00936573"/>
    <w:rsid w:val="00936969"/>
    <w:rsid w:val="00936ADD"/>
    <w:rsid w:val="0093774A"/>
    <w:rsid w:val="00937942"/>
    <w:rsid w:val="00937D44"/>
    <w:rsid w:val="00937DC9"/>
    <w:rsid w:val="00937E36"/>
    <w:rsid w:val="00940E02"/>
    <w:rsid w:val="00941AEB"/>
    <w:rsid w:val="00942184"/>
    <w:rsid w:val="00945660"/>
    <w:rsid w:val="00945DD2"/>
    <w:rsid w:val="0094630F"/>
    <w:rsid w:val="009471C0"/>
    <w:rsid w:val="009477B1"/>
    <w:rsid w:val="00947FAB"/>
    <w:rsid w:val="00950B6D"/>
    <w:rsid w:val="00950E7F"/>
    <w:rsid w:val="0095117F"/>
    <w:rsid w:val="00951F30"/>
    <w:rsid w:val="00952057"/>
    <w:rsid w:val="00954317"/>
    <w:rsid w:val="0095432F"/>
    <w:rsid w:val="0095479E"/>
    <w:rsid w:val="00956029"/>
    <w:rsid w:val="00960F75"/>
    <w:rsid w:val="00961417"/>
    <w:rsid w:val="009630E0"/>
    <w:rsid w:val="00963C7F"/>
    <w:rsid w:val="00965A05"/>
    <w:rsid w:val="00966571"/>
    <w:rsid w:val="009671F1"/>
    <w:rsid w:val="00967908"/>
    <w:rsid w:val="00967E1C"/>
    <w:rsid w:val="00970E81"/>
    <w:rsid w:val="00973914"/>
    <w:rsid w:val="00973C89"/>
    <w:rsid w:val="00975C1E"/>
    <w:rsid w:val="00977DC5"/>
    <w:rsid w:val="009807FD"/>
    <w:rsid w:val="00981E15"/>
    <w:rsid w:val="00981E45"/>
    <w:rsid w:val="009823AC"/>
    <w:rsid w:val="0098410C"/>
    <w:rsid w:val="0098472D"/>
    <w:rsid w:val="0098511E"/>
    <w:rsid w:val="0098553A"/>
    <w:rsid w:val="0098578A"/>
    <w:rsid w:val="0098787F"/>
    <w:rsid w:val="009903D6"/>
    <w:rsid w:val="0099067B"/>
    <w:rsid w:val="009912BB"/>
    <w:rsid w:val="009918C1"/>
    <w:rsid w:val="00994424"/>
    <w:rsid w:val="0099569B"/>
    <w:rsid w:val="009961C0"/>
    <w:rsid w:val="00997069"/>
    <w:rsid w:val="009A0E58"/>
    <w:rsid w:val="009A1A12"/>
    <w:rsid w:val="009A3711"/>
    <w:rsid w:val="009A3DE9"/>
    <w:rsid w:val="009A5059"/>
    <w:rsid w:val="009A522C"/>
    <w:rsid w:val="009A54B9"/>
    <w:rsid w:val="009A6001"/>
    <w:rsid w:val="009A627B"/>
    <w:rsid w:val="009B386D"/>
    <w:rsid w:val="009B65F8"/>
    <w:rsid w:val="009C3076"/>
    <w:rsid w:val="009C3609"/>
    <w:rsid w:val="009C3794"/>
    <w:rsid w:val="009C73D1"/>
    <w:rsid w:val="009D0269"/>
    <w:rsid w:val="009D05D0"/>
    <w:rsid w:val="009D3A7B"/>
    <w:rsid w:val="009D71E5"/>
    <w:rsid w:val="009E2AAD"/>
    <w:rsid w:val="009E38A9"/>
    <w:rsid w:val="009E43BB"/>
    <w:rsid w:val="009E733E"/>
    <w:rsid w:val="009F0E45"/>
    <w:rsid w:val="009F26F8"/>
    <w:rsid w:val="009F2D00"/>
    <w:rsid w:val="009F4D4C"/>
    <w:rsid w:val="009F4EF6"/>
    <w:rsid w:val="009F598E"/>
    <w:rsid w:val="00A001D9"/>
    <w:rsid w:val="00A0117E"/>
    <w:rsid w:val="00A04EDD"/>
    <w:rsid w:val="00A0684D"/>
    <w:rsid w:val="00A108E8"/>
    <w:rsid w:val="00A11FCB"/>
    <w:rsid w:val="00A127B0"/>
    <w:rsid w:val="00A139FC"/>
    <w:rsid w:val="00A15077"/>
    <w:rsid w:val="00A16741"/>
    <w:rsid w:val="00A2069F"/>
    <w:rsid w:val="00A214F2"/>
    <w:rsid w:val="00A22056"/>
    <w:rsid w:val="00A237E2"/>
    <w:rsid w:val="00A24B04"/>
    <w:rsid w:val="00A252D6"/>
    <w:rsid w:val="00A25351"/>
    <w:rsid w:val="00A273BA"/>
    <w:rsid w:val="00A34D54"/>
    <w:rsid w:val="00A35FE4"/>
    <w:rsid w:val="00A364F8"/>
    <w:rsid w:val="00A37482"/>
    <w:rsid w:val="00A40497"/>
    <w:rsid w:val="00A42266"/>
    <w:rsid w:val="00A432D2"/>
    <w:rsid w:val="00A43C7D"/>
    <w:rsid w:val="00A44FDA"/>
    <w:rsid w:val="00A4669D"/>
    <w:rsid w:val="00A47BC2"/>
    <w:rsid w:val="00A503C3"/>
    <w:rsid w:val="00A517FD"/>
    <w:rsid w:val="00A51A1D"/>
    <w:rsid w:val="00A5254C"/>
    <w:rsid w:val="00A549DE"/>
    <w:rsid w:val="00A55A27"/>
    <w:rsid w:val="00A56569"/>
    <w:rsid w:val="00A5761F"/>
    <w:rsid w:val="00A618CD"/>
    <w:rsid w:val="00A626D6"/>
    <w:rsid w:val="00A63B8A"/>
    <w:rsid w:val="00A6405E"/>
    <w:rsid w:val="00A66BCB"/>
    <w:rsid w:val="00A71C6E"/>
    <w:rsid w:val="00A72153"/>
    <w:rsid w:val="00A726D1"/>
    <w:rsid w:val="00A72951"/>
    <w:rsid w:val="00A767B8"/>
    <w:rsid w:val="00A813A4"/>
    <w:rsid w:val="00A84621"/>
    <w:rsid w:val="00A86CF5"/>
    <w:rsid w:val="00A90B17"/>
    <w:rsid w:val="00A90F5B"/>
    <w:rsid w:val="00A92BE9"/>
    <w:rsid w:val="00A92EAB"/>
    <w:rsid w:val="00A95DF7"/>
    <w:rsid w:val="00AA37A3"/>
    <w:rsid w:val="00AA3F54"/>
    <w:rsid w:val="00AA67A0"/>
    <w:rsid w:val="00AA690E"/>
    <w:rsid w:val="00AB1360"/>
    <w:rsid w:val="00AB2747"/>
    <w:rsid w:val="00AB3B9D"/>
    <w:rsid w:val="00AB636E"/>
    <w:rsid w:val="00AB6982"/>
    <w:rsid w:val="00AC0567"/>
    <w:rsid w:val="00AC12BC"/>
    <w:rsid w:val="00AC324C"/>
    <w:rsid w:val="00AC6391"/>
    <w:rsid w:val="00AC6CE6"/>
    <w:rsid w:val="00AD1CA5"/>
    <w:rsid w:val="00AD2259"/>
    <w:rsid w:val="00AD2D77"/>
    <w:rsid w:val="00AD4879"/>
    <w:rsid w:val="00AE10E6"/>
    <w:rsid w:val="00AE3C9F"/>
    <w:rsid w:val="00AE3D50"/>
    <w:rsid w:val="00AE51F6"/>
    <w:rsid w:val="00AE5D8C"/>
    <w:rsid w:val="00AE6293"/>
    <w:rsid w:val="00AE6544"/>
    <w:rsid w:val="00AF04AB"/>
    <w:rsid w:val="00AF0A8F"/>
    <w:rsid w:val="00AF21DF"/>
    <w:rsid w:val="00AF28E4"/>
    <w:rsid w:val="00AF2CF2"/>
    <w:rsid w:val="00AF2E7B"/>
    <w:rsid w:val="00AF3389"/>
    <w:rsid w:val="00AF5243"/>
    <w:rsid w:val="00B002D6"/>
    <w:rsid w:val="00B010FD"/>
    <w:rsid w:val="00B030EA"/>
    <w:rsid w:val="00B03C5D"/>
    <w:rsid w:val="00B0484A"/>
    <w:rsid w:val="00B060D7"/>
    <w:rsid w:val="00B064E6"/>
    <w:rsid w:val="00B100E6"/>
    <w:rsid w:val="00B104A3"/>
    <w:rsid w:val="00B10A8B"/>
    <w:rsid w:val="00B114BF"/>
    <w:rsid w:val="00B12068"/>
    <w:rsid w:val="00B121DC"/>
    <w:rsid w:val="00B1311E"/>
    <w:rsid w:val="00B13A06"/>
    <w:rsid w:val="00B14C68"/>
    <w:rsid w:val="00B1776A"/>
    <w:rsid w:val="00B24AD1"/>
    <w:rsid w:val="00B2787A"/>
    <w:rsid w:val="00B303E2"/>
    <w:rsid w:val="00B33D0C"/>
    <w:rsid w:val="00B34A70"/>
    <w:rsid w:val="00B35373"/>
    <w:rsid w:val="00B3656E"/>
    <w:rsid w:val="00B36E61"/>
    <w:rsid w:val="00B401B6"/>
    <w:rsid w:val="00B40E9C"/>
    <w:rsid w:val="00B40F1C"/>
    <w:rsid w:val="00B432EA"/>
    <w:rsid w:val="00B437AA"/>
    <w:rsid w:val="00B44041"/>
    <w:rsid w:val="00B46467"/>
    <w:rsid w:val="00B464E0"/>
    <w:rsid w:val="00B5125F"/>
    <w:rsid w:val="00B519A5"/>
    <w:rsid w:val="00B521B5"/>
    <w:rsid w:val="00B5302B"/>
    <w:rsid w:val="00B53685"/>
    <w:rsid w:val="00B55657"/>
    <w:rsid w:val="00B56439"/>
    <w:rsid w:val="00B62151"/>
    <w:rsid w:val="00B63318"/>
    <w:rsid w:val="00B65863"/>
    <w:rsid w:val="00B65F2B"/>
    <w:rsid w:val="00B6608A"/>
    <w:rsid w:val="00B672BE"/>
    <w:rsid w:val="00B70EC3"/>
    <w:rsid w:val="00B71296"/>
    <w:rsid w:val="00B720CE"/>
    <w:rsid w:val="00B74984"/>
    <w:rsid w:val="00B74B8C"/>
    <w:rsid w:val="00B75C32"/>
    <w:rsid w:val="00B76DE8"/>
    <w:rsid w:val="00B8154A"/>
    <w:rsid w:val="00B8206C"/>
    <w:rsid w:val="00B831CC"/>
    <w:rsid w:val="00B85976"/>
    <w:rsid w:val="00B87F26"/>
    <w:rsid w:val="00B906DE"/>
    <w:rsid w:val="00B90B63"/>
    <w:rsid w:val="00B954F7"/>
    <w:rsid w:val="00B95DF4"/>
    <w:rsid w:val="00B971A2"/>
    <w:rsid w:val="00BA01B6"/>
    <w:rsid w:val="00BA421B"/>
    <w:rsid w:val="00BA42B4"/>
    <w:rsid w:val="00BA48CA"/>
    <w:rsid w:val="00BA49EE"/>
    <w:rsid w:val="00BA513E"/>
    <w:rsid w:val="00BA7F84"/>
    <w:rsid w:val="00BB0622"/>
    <w:rsid w:val="00BB0DBB"/>
    <w:rsid w:val="00BB3794"/>
    <w:rsid w:val="00BB3AD6"/>
    <w:rsid w:val="00BB6445"/>
    <w:rsid w:val="00BB66A6"/>
    <w:rsid w:val="00BB67CA"/>
    <w:rsid w:val="00BB6F21"/>
    <w:rsid w:val="00BC002E"/>
    <w:rsid w:val="00BC0C6F"/>
    <w:rsid w:val="00BC1893"/>
    <w:rsid w:val="00BC3589"/>
    <w:rsid w:val="00BC7BB0"/>
    <w:rsid w:val="00BC7FA3"/>
    <w:rsid w:val="00BD298A"/>
    <w:rsid w:val="00BD66A0"/>
    <w:rsid w:val="00BD6816"/>
    <w:rsid w:val="00BD7479"/>
    <w:rsid w:val="00BE0F6E"/>
    <w:rsid w:val="00BE338E"/>
    <w:rsid w:val="00BE72F3"/>
    <w:rsid w:val="00BE7D6D"/>
    <w:rsid w:val="00BF5A18"/>
    <w:rsid w:val="00BF6C77"/>
    <w:rsid w:val="00C00FF5"/>
    <w:rsid w:val="00C0323C"/>
    <w:rsid w:val="00C04200"/>
    <w:rsid w:val="00C047BE"/>
    <w:rsid w:val="00C0655B"/>
    <w:rsid w:val="00C07F5B"/>
    <w:rsid w:val="00C12120"/>
    <w:rsid w:val="00C122D0"/>
    <w:rsid w:val="00C15597"/>
    <w:rsid w:val="00C15DA8"/>
    <w:rsid w:val="00C162F5"/>
    <w:rsid w:val="00C20488"/>
    <w:rsid w:val="00C210F8"/>
    <w:rsid w:val="00C223F0"/>
    <w:rsid w:val="00C22A66"/>
    <w:rsid w:val="00C2314B"/>
    <w:rsid w:val="00C23811"/>
    <w:rsid w:val="00C25A8E"/>
    <w:rsid w:val="00C25C64"/>
    <w:rsid w:val="00C26334"/>
    <w:rsid w:val="00C27CEC"/>
    <w:rsid w:val="00C31566"/>
    <w:rsid w:val="00C3173D"/>
    <w:rsid w:val="00C325EA"/>
    <w:rsid w:val="00C33F9D"/>
    <w:rsid w:val="00C34FC5"/>
    <w:rsid w:val="00C36BEE"/>
    <w:rsid w:val="00C372CF"/>
    <w:rsid w:val="00C3791B"/>
    <w:rsid w:val="00C42222"/>
    <w:rsid w:val="00C42C8C"/>
    <w:rsid w:val="00C436D8"/>
    <w:rsid w:val="00C438E1"/>
    <w:rsid w:val="00C438E9"/>
    <w:rsid w:val="00C4397B"/>
    <w:rsid w:val="00C448B9"/>
    <w:rsid w:val="00C459E9"/>
    <w:rsid w:val="00C469AC"/>
    <w:rsid w:val="00C47A8F"/>
    <w:rsid w:val="00C47C6B"/>
    <w:rsid w:val="00C51028"/>
    <w:rsid w:val="00C530ED"/>
    <w:rsid w:val="00C53803"/>
    <w:rsid w:val="00C53C30"/>
    <w:rsid w:val="00C5464A"/>
    <w:rsid w:val="00C56A0B"/>
    <w:rsid w:val="00C57519"/>
    <w:rsid w:val="00C57A8B"/>
    <w:rsid w:val="00C633E5"/>
    <w:rsid w:val="00C63EEE"/>
    <w:rsid w:val="00C65A27"/>
    <w:rsid w:val="00C66C83"/>
    <w:rsid w:val="00C71BC3"/>
    <w:rsid w:val="00C7764E"/>
    <w:rsid w:val="00C77A37"/>
    <w:rsid w:val="00C77C6C"/>
    <w:rsid w:val="00C81191"/>
    <w:rsid w:val="00C825B5"/>
    <w:rsid w:val="00C82754"/>
    <w:rsid w:val="00C857AA"/>
    <w:rsid w:val="00C86E93"/>
    <w:rsid w:val="00C90193"/>
    <w:rsid w:val="00C91088"/>
    <w:rsid w:val="00C947BB"/>
    <w:rsid w:val="00C94FF2"/>
    <w:rsid w:val="00C9570C"/>
    <w:rsid w:val="00C97ED6"/>
    <w:rsid w:val="00CA1F7A"/>
    <w:rsid w:val="00CA376B"/>
    <w:rsid w:val="00CA457D"/>
    <w:rsid w:val="00CA746C"/>
    <w:rsid w:val="00CB0C89"/>
    <w:rsid w:val="00CB18CA"/>
    <w:rsid w:val="00CB2831"/>
    <w:rsid w:val="00CB6C5B"/>
    <w:rsid w:val="00CB6E50"/>
    <w:rsid w:val="00CB7764"/>
    <w:rsid w:val="00CC0142"/>
    <w:rsid w:val="00CC0600"/>
    <w:rsid w:val="00CC0BD9"/>
    <w:rsid w:val="00CC31BB"/>
    <w:rsid w:val="00CC332A"/>
    <w:rsid w:val="00CC56A9"/>
    <w:rsid w:val="00CD19DF"/>
    <w:rsid w:val="00CD2271"/>
    <w:rsid w:val="00CD2634"/>
    <w:rsid w:val="00CD5DC6"/>
    <w:rsid w:val="00CD60DF"/>
    <w:rsid w:val="00CD7BD1"/>
    <w:rsid w:val="00CE0D7F"/>
    <w:rsid w:val="00CE172F"/>
    <w:rsid w:val="00CE1790"/>
    <w:rsid w:val="00CE17F1"/>
    <w:rsid w:val="00CE2D8B"/>
    <w:rsid w:val="00CE33CF"/>
    <w:rsid w:val="00CE4BE4"/>
    <w:rsid w:val="00CE50E2"/>
    <w:rsid w:val="00CE5B4F"/>
    <w:rsid w:val="00CE679D"/>
    <w:rsid w:val="00CF117A"/>
    <w:rsid w:val="00CF15E9"/>
    <w:rsid w:val="00CF31D6"/>
    <w:rsid w:val="00CF326E"/>
    <w:rsid w:val="00CF3D8B"/>
    <w:rsid w:val="00CF45E7"/>
    <w:rsid w:val="00CF46E4"/>
    <w:rsid w:val="00CF7105"/>
    <w:rsid w:val="00CF7A3D"/>
    <w:rsid w:val="00CF7C41"/>
    <w:rsid w:val="00D021FB"/>
    <w:rsid w:val="00D06078"/>
    <w:rsid w:val="00D06335"/>
    <w:rsid w:val="00D066DE"/>
    <w:rsid w:val="00D102E4"/>
    <w:rsid w:val="00D15A56"/>
    <w:rsid w:val="00D21547"/>
    <w:rsid w:val="00D21C58"/>
    <w:rsid w:val="00D23375"/>
    <w:rsid w:val="00D23474"/>
    <w:rsid w:val="00D25199"/>
    <w:rsid w:val="00D26261"/>
    <w:rsid w:val="00D2762E"/>
    <w:rsid w:val="00D27C10"/>
    <w:rsid w:val="00D31403"/>
    <w:rsid w:val="00D32E19"/>
    <w:rsid w:val="00D33C9C"/>
    <w:rsid w:val="00D34816"/>
    <w:rsid w:val="00D352FB"/>
    <w:rsid w:val="00D3701C"/>
    <w:rsid w:val="00D40C93"/>
    <w:rsid w:val="00D418E5"/>
    <w:rsid w:val="00D4249D"/>
    <w:rsid w:val="00D42BEC"/>
    <w:rsid w:val="00D42DB5"/>
    <w:rsid w:val="00D42F83"/>
    <w:rsid w:val="00D439EC"/>
    <w:rsid w:val="00D43CE9"/>
    <w:rsid w:val="00D44F9B"/>
    <w:rsid w:val="00D455D2"/>
    <w:rsid w:val="00D45B87"/>
    <w:rsid w:val="00D473CB"/>
    <w:rsid w:val="00D509DB"/>
    <w:rsid w:val="00D50DDE"/>
    <w:rsid w:val="00D51279"/>
    <w:rsid w:val="00D54E3F"/>
    <w:rsid w:val="00D55ED7"/>
    <w:rsid w:val="00D61411"/>
    <w:rsid w:val="00D61B31"/>
    <w:rsid w:val="00D61C1F"/>
    <w:rsid w:val="00D63056"/>
    <w:rsid w:val="00D63720"/>
    <w:rsid w:val="00D659D5"/>
    <w:rsid w:val="00D677C9"/>
    <w:rsid w:val="00D7150B"/>
    <w:rsid w:val="00D7190E"/>
    <w:rsid w:val="00D720BA"/>
    <w:rsid w:val="00D72785"/>
    <w:rsid w:val="00D72C93"/>
    <w:rsid w:val="00D75388"/>
    <w:rsid w:val="00D765CA"/>
    <w:rsid w:val="00D76EEC"/>
    <w:rsid w:val="00D777A9"/>
    <w:rsid w:val="00D77B1D"/>
    <w:rsid w:val="00D80B3D"/>
    <w:rsid w:val="00D82206"/>
    <w:rsid w:val="00D90C17"/>
    <w:rsid w:val="00D93276"/>
    <w:rsid w:val="00D94A3C"/>
    <w:rsid w:val="00D9545F"/>
    <w:rsid w:val="00D959B3"/>
    <w:rsid w:val="00D97F85"/>
    <w:rsid w:val="00DA1431"/>
    <w:rsid w:val="00DA1EC9"/>
    <w:rsid w:val="00DA31A2"/>
    <w:rsid w:val="00DA4A66"/>
    <w:rsid w:val="00DA4F46"/>
    <w:rsid w:val="00DA5C87"/>
    <w:rsid w:val="00DB1875"/>
    <w:rsid w:val="00DB1BB6"/>
    <w:rsid w:val="00DB34AE"/>
    <w:rsid w:val="00DB35D8"/>
    <w:rsid w:val="00DB378D"/>
    <w:rsid w:val="00DB3877"/>
    <w:rsid w:val="00DB44C1"/>
    <w:rsid w:val="00DB4A19"/>
    <w:rsid w:val="00DB509B"/>
    <w:rsid w:val="00DB7470"/>
    <w:rsid w:val="00DC0975"/>
    <w:rsid w:val="00DC2596"/>
    <w:rsid w:val="00DC54C6"/>
    <w:rsid w:val="00DC5BE6"/>
    <w:rsid w:val="00DC5D8B"/>
    <w:rsid w:val="00DC5F38"/>
    <w:rsid w:val="00DD0A3C"/>
    <w:rsid w:val="00DD0AD7"/>
    <w:rsid w:val="00DD10FA"/>
    <w:rsid w:val="00DD16DA"/>
    <w:rsid w:val="00DD4132"/>
    <w:rsid w:val="00DD586D"/>
    <w:rsid w:val="00DE1F6C"/>
    <w:rsid w:val="00DE2939"/>
    <w:rsid w:val="00DE2ABC"/>
    <w:rsid w:val="00DE3A68"/>
    <w:rsid w:val="00DE427D"/>
    <w:rsid w:val="00DE6F5C"/>
    <w:rsid w:val="00DE724D"/>
    <w:rsid w:val="00DF3BEF"/>
    <w:rsid w:val="00DF3CF7"/>
    <w:rsid w:val="00DF4BF7"/>
    <w:rsid w:val="00DF6669"/>
    <w:rsid w:val="00DF68C1"/>
    <w:rsid w:val="00E0016C"/>
    <w:rsid w:val="00E0188C"/>
    <w:rsid w:val="00E0251B"/>
    <w:rsid w:val="00E02796"/>
    <w:rsid w:val="00E03F01"/>
    <w:rsid w:val="00E0736F"/>
    <w:rsid w:val="00E073C6"/>
    <w:rsid w:val="00E0762C"/>
    <w:rsid w:val="00E2621B"/>
    <w:rsid w:val="00E26577"/>
    <w:rsid w:val="00E26EFC"/>
    <w:rsid w:val="00E31A06"/>
    <w:rsid w:val="00E325A7"/>
    <w:rsid w:val="00E3296F"/>
    <w:rsid w:val="00E3717C"/>
    <w:rsid w:val="00E37D82"/>
    <w:rsid w:val="00E4129D"/>
    <w:rsid w:val="00E42F5F"/>
    <w:rsid w:val="00E43F51"/>
    <w:rsid w:val="00E4401F"/>
    <w:rsid w:val="00E44E7C"/>
    <w:rsid w:val="00E45AD2"/>
    <w:rsid w:val="00E46317"/>
    <w:rsid w:val="00E47361"/>
    <w:rsid w:val="00E47A45"/>
    <w:rsid w:val="00E502B7"/>
    <w:rsid w:val="00E5237F"/>
    <w:rsid w:val="00E5321F"/>
    <w:rsid w:val="00E536D4"/>
    <w:rsid w:val="00E54B90"/>
    <w:rsid w:val="00E57ED7"/>
    <w:rsid w:val="00E609BD"/>
    <w:rsid w:val="00E63AA4"/>
    <w:rsid w:val="00E65974"/>
    <w:rsid w:val="00E66AED"/>
    <w:rsid w:val="00E66DBA"/>
    <w:rsid w:val="00E70E10"/>
    <w:rsid w:val="00E710F9"/>
    <w:rsid w:val="00E7124A"/>
    <w:rsid w:val="00E7175F"/>
    <w:rsid w:val="00E71BA8"/>
    <w:rsid w:val="00E7248E"/>
    <w:rsid w:val="00E73319"/>
    <w:rsid w:val="00E73DDD"/>
    <w:rsid w:val="00E7431A"/>
    <w:rsid w:val="00E74DDF"/>
    <w:rsid w:val="00E75539"/>
    <w:rsid w:val="00E75E85"/>
    <w:rsid w:val="00E76278"/>
    <w:rsid w:val="00E77A55"/>
    <w:rsid w:val="00E802CD"/>
    <w:rsid w:val="00E80E4F"/>
    <w:rsid w:val="00E8272F"/>
    <w:rsid w:val="00E83998"/>
    <w:rsid w:val="00E847FB"/>
    <w:rsid w:val="00E86413"/>
    <w:rsid w:val="00E9595C"/>
    <w:rsid w:val="00E95C6B"/>
    <w:rsid w:val="00E95C7E"/>
    <w:rsid w:val="00E95F90"/>
    <w:rsid w:val="00E968A8"/>
    <w:rsid w:val="00E96B25"/>
    <w:rsid w:val="00EA0386"/>
    <w:rsid w:val="00EA0E67"/>
    <w:rsid w:val="00EA2CEA"/>
    <w:rsid w:val="00EA4542"/>
    <w:rsid w:val="00EB059D"/>
    <w:rsid w:val="00EB1353"/>
    <w:rsid w:val="00EB267D"/>
    <w:rsid w:val="00EB325B"/>
    <w:rsid w:val="00EB337C"/>
    <w:rsid w:val="00EB4143"/>
    <w:rsid w:val="00EB5393"/>
    <w:rsid w:val="00EB5451"/>
    <w:rsid w:val="00EB6667"/>
    <w:rsid w:val="00EB76FB"/>
    <w:rsid w:val="00EB7DC5"/>
    <w:rsid w:val="00EC01B7"/>
    <w:rsid w:val="00EC0736"/>
    <w:rsid w:val="00EC2B35"/>
    <w:rsid w:val="00EC36C6"/>
    <w:rsid w:val="00EC36CE"/>
    <w:rsid w:val="00EC4846"/>
    <w:rsid w:val="00EC4D1C"/>
    <w:rsid w:val="00EC53CB"/>
    <w:rsid w:val="00EC5A63"/>
    <w:rsid w:val="00EC76AB"/>
    <w:rsid w:val="00ED24A8"/>
    <w:rsid w:val="00ED2D5B"/>
    <w:rsid w:val="00ED3680"/>
    <w:rsid w:val="00ED3BA5"/>
    <w:rsid w:val="00ED3F07"/>
    <w:rsid w:val="00ED3FE0"/>
    <w:rsid w:val="00EE045E"/>
    <w:rsid w:val="00EE23FF"/>
    <w:rsid w:val="00EE3772"/>
    <w:rsid w:val="00EE4E95"/>
    <w:rsid w:val="00EE62C8"/>
    <w:rsid w:val="00EF0857"/>
    <w:rsid w:val="00EF4160"/>
    <w:rsid w:val="00EF4931"/>
    <w:rsid w:val="00EF73AB"/>
    <w:rsid w:val="00EF7DF3"/>
    <w:rsid w:val="00F01FCD"/>
    <w:rsid w:val="00F0390C"/>
    <w:rsid w:val="00F05951"/>
    <w:rsid w:val="00F05D0A"/>
    <w:rsid w:val="00F067D7"/>
    <w:rsid w:val="00F07729"/>
    <w:rsid w:val="00F121C2"/>
    <w:rsid w:val="00F13879"/>
    <w:rsid w:val="00F15081"/>
    <w:rsid w:val="00F150B0"/>
    <w:rsid w:val="00F15DDD"/>
    <w:rsid w:val="00F16F18"/>
    <w:rsid w:val="00F174E3"/>
    <w:rsid w:val="00F20EC2"/>
    <w:rsid w:val="00F21D25"/>
    <w:rsid w:val="00F22502"/>
    <w:rsid w:val="00F2299B"/>
    <w:rsid w:val="00F235FB"/>
    <w:rsid w:val="00F24642"/>
    <w:rsid w:val="00F24833"/>
    <w:rsid w:val="00F24B07"/>
    <w:rsid w:val="00F24C8B"/>
    <w:rsid w:val="00F26FD4"/>
    <w:rsid w:val="00F2760B"/>
    <w:rsid w:val="00F2769B"/>
    <w:rsid w:val="00F358CA"/>
    <w:rsid w:val="00F370C2"/>
    <w:rsid w:val="00F409CE"/>
    <w:rsid w:val="00F4116C"/>
    <w:rsid w:val="00F42B83"/>
    <w:rsid w:val="00F42DB5"/>
    <w:rsid w:val="00F43414"/>
    <w:rsid w:val="00F43507"/>
    <w:rsid w:val="00F43BFE"/>
    <w:rsid w:val="00F442FE"/>
    <w:rsid w:val="00F45A99"/>
    <w:rsid w:val="00F527FD"/>
    <w:rsid w:val="00F52D53"/>
    <w:rsid w:val="00F55EA2"/>
    <w:rsid w:val="00F566CD"/>
    <w:rsid w:val="00F569CC"/>
    <w:rsid w:val="00F6065A"/>
    <w:rsid w:val="00F64EEA"/>
    <w:rsid w:val="00F65C24"/>
    <w:rsid w:val="00F66BE3"/>
    <w:rsid w:val="00F66D12"/>
    <w:rsid w:val="00F66D3D"/>
    <w:rsid w:val="00F71BE0"/>
    <w:rsid w:val="00F72621"/>
    <w:rsid w:val="00F729DB"/>
    <w:rsid w:val="00F745FF"/>
    <w:rsid w:val="00F750D9"/>
    <w:rsid w:val="00F756E5"/>
    <w:rsid w:val="00F75E4F"/>
    <w:rsid w:val="00F75FF1"/>
    <w:rsid w:val="00F76537"/>
    <w:rsid w:val="00F76785"/>
    <w:rsid w:val="00F76FFA"/>
    <w:rsid w:val="00F7720E"/>
    <w:rsid w:val="00F83AF5"/>
    <w:rsid w:val="00F86366"/>
    <w:rsid w:val="00F86A5C"/>
    <w:rsid w:val="00F86E94"/>
    <w:rsid w:val="00F86F38"/>
    <w:rsid w:val="00F87E0C"/>
    <w:rsid w:val="00F90704"/>
    <w:rsid w:val="00F907E3"/>
    <w:rsid w:val="00F90D6A"/>
    <w:rsid w:val="00F92EDE"/>
    <w:rsid w:val="00F93F47"/>
    <w:rsid w:val="00F955CF"/>
    <w:rsid w:val="00F957E0"/>
    <w:rsid w:val="00F9587D"/>
    <w:rsid w:val="00F96112"/>
    <w:rsid w:val="00F96397"/>
    <w:rsid w:val="00F96AC0"/>
    <w:rsid w:val="00FA0350"/>
    <w:rsid w:val="00FA0837"/>
    <w:rsid w:val="00FA0B59"/>
    <w:rsid w:val="00FA15F8"/>
    <w:rsid w:val="00FA37D2"/>
    <w:rsid w:val="00FA54CB"/>
    <w:rsid w:val="00FA7040"/>
    <w:rsid w:val="00FA7333"/>
    <w:rsid w:val="00FA7DC6"/>
    <w:rsid w:val="00FB3346"/>
    <w:rsid w:val="00FB6506"/>
    <w:rsid w:val="00FB6956"/>
    <w:rsid w:val="00FB7F35"/>
    <w:rsid w:val="00FC0369"/>
    <w:rsid w:val="00FC14D2"/>
    <w:rsid w:val="00FC561C"/>
    <w:rsid w:val="00FD02F6"/>
    <w:rsid w:val="00FD4650"/>
    <w:rsid w:val="00FD4CF3"/>
    <w:rsid w:val="00FD62BE"/>
    <w:rsid w:val="00FD67B0"/>
    <w:rsid w:val="00FD7293"/>
    <w:rsid w:val="00FE0178"/>
    <w:rsid w:val="00FE4CA8"/>
    <w:rsid w:val="00FE6C97"/>
    <w:rsid w:val="00FF07A2"/>
    <w:rsid w:val="00FF27C2"/>
    <w:rsid w:val="00FF3227"/>
    <w:rsid w:val="00FF3A95"/>
    <w:rsid w:val="00FF5052"/>
    <w:rsid w:val="00FF52E8"/>
    <w:rsid w:val="00FF70A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C3D1B"/>
    <w:rPr>
      <w:rFonts w:ascii="Arial" w:hAnsi="Arial" w:cs="Arial"/>
    </w:rPr>
  </w:style>
  <w:style w:type="paragraph" w:styleId="Heading1">
    <w:name w:val="heading 1"/>
    <w:basedOn w:val="Normal"/>
    <w:next w:val="Normal"/>
    <w:link w:val="Heading1Char"/>
    <w:uiPriority w:val="99"/>
    <w:qFormat/>
    <w:rsid w:val="001E6D1D"/>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1E6D1D"/>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1E6D1D"/>
    <w:pPr>
      <w:keepNext/>
      <w:spacing w:before="240" w:after="60"/>
      <w:outlineLvl w:val="2"/>
    </w:pPr>
    <w:rPr>
      <w:b/>
      <w:bCs/>
      <w:sz w:val="26"/>
      <w:szCs w:val="26"/>
    </w:rPr>
  </w:style>
  <w:style w:type="paragraph" w:styleId="Heading4">
    <w:name w:val="heading 4"/>
    <w:basedOn w:val="Normal"/>
    <w:next w:val="AlinaJustifi"/>
    <w:link w:val="Heading4Char"/>
    <w:uiPriority w:val="99"/>
    <w:qFormat/>
    <w:rsid w:val="009903D6"/>
    <w:pPr>
      <w:keepNext/>
      <w:overflowPunct w:val="0"/>
      <w:autoSpaceDE w:val="0"/>
      <w:autoSpaceDN w:val="0"/>
      <w:adjustRightInd w:val="0"/>
      <w:spacing w:before="360" w:after="360" w:line="240" w:lineRule="atLeast"/>
      <w:ind w:left="1191" w:hanging="227"/>
      <w:jc w:val="both"/>
      <w:textAlignment w:val="baseline"/>
      <w:outlineLvl w:val="3"/>
    </w:pPr>
    <w:rPr>
      <w:rFonts w:cs="Times New Roman"/>
      <w:b/>
      <w:bCs/>
      <w:color w:val="008000"/>
      <w:spacing w:val="4"/>
      <w:sz w:val="25"/>
      <w:szCs w:val="25"/>
    </w:rPr>
  </w:style>
  <w:style w:type="paragraph" w:styleId="Heading5">
    <w:name w:val="heading 5"/>
    <w:basedOn w:val="Normal"/>
    <w:next w:val="AlinaJustifi"/>
    <w:link w:val="Heading5Char"/>
    <w:uiPriority w:val="99"/>
    <w:qFormat/>
    <w:rsid w:val="009903D6"/>
    <w:pPr>
      <w:keepNext/>
      <w:overflowPunct w:val="0"/>
      <w:autoSpaceDE w:val="0"/>
      <w:autoSpaceDN w:val="0"/>
      <w:adjustRightInd w:val="0"/>
      <w:spacing w:before="240" w:after="120"/>
      <w:ind w:left="1134" w:hanging="227"/>
      <w:jc w:val="both"/>
      <w:textAlignment w:val="baseline"/>
      <w:outlineLvl w:val="4"/>
    </w:pPr>
    <w:rPr>
      <w:rFonts w:cs="Times New Roman"/>
      <w:i/>
      <w:iCs/>
      <w:color w:val="008080"/>
      <w:spacing w:val="4"/>
      <w:sz w:val="25"/>
      <w:szCs w:val="25"/>
    </w:rPr>
  </w:style>
  <w:style w:type="paragraph" w:styleId="Heading6">
    <w:name w:val="heading 6"/>
    <w:basedOn w:val="Normal"/>
    <w:next w:val="AlinaJustifi"/>
    <w:link w:val="Heading6Char"/>
    <w:uiPriority w:val="99"/>
    <w:qFormat/>
    <w:rsid w:val="009903D6"/>
    <w:pPr>
      <w:keepNext/>
      <w:overflowPunct w:val="0"/>
      <w:autoSpaceDE w:val="0"/>
      <w:autoSpaceDN w:val="0"/>
      <w:adjustRightInd w:val="0"/>
      <w:spacing w:before="240" w:after="120"/>
      <w:ind w:left="1304" w:hanging="340"/>
      <w:jc w:val="both"/>
      <w:textAlignment w:val="baseline"/>
      <w:outlineLvl w:val="5"/>
    </w:pPr>
    <w:rPr>
      <w:rFonts w:cs="Times New Roman"/>
      <w:color w:val="000080"/>
      <w:spacing w:val="4"/>
    </w:rPr>
  </w:style>
  <w:style w:type="paragraph" w:styleId="Heading7">
    <w:name w:val="heading 7"/>
    <w:basedOn w:val="Normal"/>
    <w:next w:val="AlinaJustifi"/>
    <w:link w:val="Heading7Char"/>
    <w:uiPriority w:val="99"/>
    <w:qFormat/>
    <w:rsid w:val="009903D6"/>
    <w:pPr>
      <w:keepNext/>
      <w:overflowPunct w:val="0"/>
      <w:autoSpaceDE w:val="0"/>
      <w:autoSpaceDN w:val="0"/>
      <w:adjustRightInd w:val="0"/>
      <w:spacing w:before="240" w:after="120"/>
      <w:ind w:left="1247" w:hanging="340"/>
      <w:jc w:val="both"/>
      <w:textAlignment w:val="baseline"/>
      <w:outlineLvl w:val="6"/>
    </w:pPr>
    <w:rPr>
      <w:rFonts w:cs="Times New Roman"/>
      <w:color w:val="800000"/>
      <w:spacing w:val="4"/>
    </w:rPr>
  </w:style>
  <w:style w:type="paragraph" w:styleId="Heading8">
    <w:name w:val="heading 8"/>
    <w:basedOn w:val="Normal"/>
    <w:next w:val="AlinaJustifi"/>
    <w:link w:val="Heading8Char"/>
    <w:uiPriority w:val="99"/>
    <w:qFormat/>
    <w:rsid w:val="009903D6"/>
    <w:pPr>
      <w:keepNext/>
      <w:overflowPunct w:val="0"/>
      <w:autoSpaceDE w:val="0"/>
      <w:autoSpaceDN w:val="0"/>
      <w:adjustRightInd w:val="0"/>
      <w:spacing w:before="240" w:after="120"/>
      <w:ind w:left="1248" w:hanging="284"/>
      <w:jc w:val="both"/>
      <w:textAlignment w:val="baseline"/>
      <w:outlineLvl w:val="7"/>
    </w:pPr>
    <w:rPr>
      <w:rFonts w:cs="Times New Roman"/>
      <w:i/>
      <w:iCs/>
      <w:color w:val="808000"/>
      <w:spacing w:val="4"/>
    </w:rPr>
  </w:style>
  <w:style w:type="paragraph" w:styleId="Heading9">
    <w:name w:val="heading 9"/>
    <w:basedOn w:val="Normal"/>
    <w:next w:val="AlinaJustifi"/>
    <w:link w:val="Heading9Char"/>
    <w:uiPriority w:val="99"/>
    <w:qFormat/>
    <w:rsid w:val="009903D6"/>
    <w:pPr>
      <w:keepNext/>
      <w:overflowPunct w:val="0"/>
      <w:autoSpaceDE w:val="0"/>
      <w:autoSpaceDN w:val="0"/>
      <w:adjustRightInd w:val="0"/>
      <w:spacing w:before="240" w:after="60"/>
      <w:jc w:val="center"/>
      <w:textAlignment w:val="baseline"/>
      <w:outlineLvl w:val="8"/>
    </w:pPr>
    <w:rPr>
      <w:rFonts w:cs="Times New Roman"/>
      <w:color w:val="0000FF"/>
      <w:spacing w:val="4"/>
      <w:sz w:val="25"/>
      <w:szCs w:val="2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32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F632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F632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F632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7F632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7F6329"/>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7F6329"/>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7F6329"/>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7F6329"/>
    <w:rPr>
      <w:rFonts w:asciiTheme="majorHAnsi" w:eastAsiaTheme="majorEastAsia" w:hAnsiTheme="majorHAnsi" w:cstheme="majorBidi"/>
    </w:rPr>
  </w:style>
  <w:style w:type="table" w:styleId="TableGrid">
    <w:name w:val="Table Grid"/>
    <w:basedOn w:val="TableNormal"/>
    <w:uiPriority w:val="99"/>
    <w:rsid w:val="00A767B8"/>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2B08D3"/>
    <w:pPr>
      <w:tabs>
        <w:tab w:val="center" w:pos="4536"/>
        <w:tab w:val="right" w:pos="9072"/>
      </w:tabs>
    </w:pPr>
  </w:style>
  <w:style w:type="character" w:customStyle="1" w:styleId="HeaderChar">
    <w:name w:val="Header Char"/>
    <w:basedOn w:val="DefaultParagraphFont"/>
    <w:link w:val="Header"/>
    <w:uiPriority w:val="99"/>
    <w:semiHidden/>
    <w:rsid w:val="007F6329"/>
    <w:rPr>
      <w:rFonts w:ascii="Arial" w:hAnsi="Arial" w:cs="Arial"/>
    </w:rPr>
  </w:style>
  <w:style w:type="paragraph" w:styleId="Footer">
    <w:name w:val="footer"/>
    <w:basedOn w:val="Normal"/>
    <w:link w:val="FooterChar"/>
    <w:uiPriority w:val="99"/>
    <w:semiHidden/>
    <w:rsid w:val="002B08D3"/>
    <w:pPr>
      <w:tabs>
        <w:tab w:val="center" w:pos="4536"/>
        <w:tab w:val="right" w:pos="9072"/>
      </w:tabs>
    </w:pPr>
  </w:style>
  <w:style w:type="character" w:customStyle="1" w:styleId="FooterChar">
    <w:name w:val="Footer Char"/>
    <w:basedOn w:val="DefaultParagraphFont"/>
    <w:link w:val="Footer"/>
    <w:uiPriority w:val="99"/>
    <w:semiHidden/>
    <w:rsid w:val="007F6329"/>
    <w:rPr>
      <w:rFonts w:ascii="Arial" w:hAnsi="Arial" w:cs="Arial"/>
    </w:rPr>
  </w:style>
  <w:style w:type="character" w:styleId="PageNumber">
    <w:name w:val="page number"/>
    <w:basedOn w:val="DefaultParagraphFont"/>
    <w:uiPriority w:val="99"/>
    <w:semiHidden/>
    <w:rsid w:val="00D76EEC"/>
  </w:style>
  <w:style w:type="paragraph" w:customStyle="1" w:styleId="TitreChapitre">
    <w:name w:val="Titre_Chapitre"/>
    <w:basedOn w:val="Normal"/>
    <w:next w:val="TexteChapitre"/>
    <w:uiPriority w:val="99"/>
    <w:rsid w:val="004A7604"/>
    <w:pPr>
      <w:pBdr>
        <w:left w:val="inset" w:sz="12" w:space="4" w:color="C0C0C0"/>
        <w:bottom w:val="inset" w:sz="12" w:space="1" w:color="C0C0C0"/>
      </w:pBdr>
      <w:spacing w:after="240"/>
      <w:ind w:left="180" w:right="41"/>
    </w:pPr>
    <w:rPr>
      <w:b/>
      <w:bCs/>
      <w:i/>
      <w:iCs/>
      <w:sz w:val="26"/>
      <w:szCs w:val="26"/>
    </w:rPr>
  </w:style>
  <w:style w:type="paragraph" w:customStyle="1" w:styleId="TexteChapitre">
    <w:name w:val="Texte_Chapitre"/>
    <w:basedOn w:val="Normal"/>
    <w:uiPriority w:val="99"/>
    <w:rsid w:val="009F4EF6"/>
    <w:pPr>
      <w:spacing w:after="240"/>
      <w:jc w:val="both"/>
    </w:pPr>
  </w:style>
  <w:style w:type="paragraph" w:customStyle="1" w:styleId="TexteEnumration">
    <w:name w:val="Texte_Enumération"/>
    <w:basedOn w:val="TexteChapitre"/>
    <w:uiPriority w:val="99"/>
    <w:rsid w:val="009F4EF6"/>
    <w:pPr>
      <w:numPr>
        <w:numId w:val="5"/>
      </w:numPr>
      <w:tabs>
        <w:tab w:val="clear" w:pos="720"/>
        <w:tab w:val="num" w:pos="360"/>
      </w:tabs>
      <w:spacing w:after="120"/>
      <w:ind w:left="360"/>
    </w:pPr>
  </w:style>
  <w:style w:type="paragraph" w:customStyle="1" w:styleId="msoorganizationname">
    <w:name w:val="msoorganizationname"/>
    <w:uiPriority w:val="99"/>
    <w:semiHidden/>
    <w:rsid w:val="006F69F4"/>
    <w:pPr>
      <w:spacing w:line="307" w:lineRule="auto"/>
    </w:pPr>
    <w:rPr>
      <w:rFonts w:ascii="Gill Sans MT Condensed" w:hAnsi="Gill Sans MT Condensed" w:cs="Gill Sans MT Condensed"/>
      <w:b/>
      <w:bCs/>
      <w:caps/>
      <w:color w:val="A00722"/>
      <w:spacing w:val="40"/>
      <w:kern w:val="28"/>
      <w:sz w:val="20"/>
      <w:szCs w:val="20"/>
    </w:rPr>
  </w:style>
  <w:style w:type="paragraph" w:customStyle="1" w:styleId="Office-Dlgation">
    <w:name w:val="Office-Délégation"/>
    <w:basedOn w:val="Header"/>
    <w:uiPriority w:val="99"/>
    <w:rsid w:val="005F07F0"/>
    <w:pPr>
      <w:shd w:val="clear" w:color="auto" w:fill="C8092B"/>
      <w:ind w:left="1440"/>
      <w:jc w:val="center"/>
    </w:pPr>
    <w:rPr>
      <w:b/>
      <w:bCs/>
      <w:smallCaps/>
      <w:sz w:val="28"/>
      <w:szCs w:val="28"/>
    </w:rPr>
  </w:style>
  <w:style w:type="paragraph" w:customStyle="1" w:styleId="TitreRapport">
    <w:name w:val="Titre_Rapport"/>
    <w:basedOn w:val="Normal"/>
    <w:uiPriority w:val="99"/>
    <w:rsid w:val="00005F0A"/>
    <w:pPr>
      <w:jc w:val="center"/>
    </w:pPr>
    <w:rPr>
      <w:b/>
      <w:bCs/>
    </w:rPr>
  </w:style>
  <w:style w:type="paragraph" w:customStyle="1" w:styleId="CommissionMission">
    <w:name w:val="Commission_Mission"/>
    <w:basedOn w:val="Normal"/>
    <w:uiPriority w:val="99"/>
    <w:rsid w:val="00485666"/>
    <w:pPr>
      <w:spacing w:after="120"/>
      <w:jc w:val="center"/>
    </w:pPr>
    <w:rPr>
      <w:i/>
      <w:iCs/>
      <w:sz w:val="24"/>
      <w:szCs w:val="24"/>
    </w:rPr>
  </w:style>
  <w:style w:type="paragraph" w:styleId="BalloonText">
    <w:name w:val="Balloon Text"/>
    <w:basedOn w:val="Normal"/>
    <w:link w:val="BalloonTextChar"/>
    <w:uiPriority w:val="99"/>
    <w:semiHidden/>
    <w:rsid w:val="005562F8"/>
    <w:rPr>
      <w:rFonts w:ascii="Tahoma" w:hAnsi="Tahoma" w:cs="Tahoma"/>
      <w:sz w:val="16"/>
      <w:szCs w:val="16"/>
    </w:rPr>
  </w:style>
  <w:style w:type="character" w:customStyle="1" w:styleId="BalloonTextChar">
    <w:name w:val="Balloon Text Char"/>
    <w:basedOn w:val="DefaultParagraphFont"/>
    <w:link w:val="BalloonText"/>
    <w:uiPriority w:val="99"/>
    <w:semiHidden/>
    <w:rsid w:val="007F6329"/>
    <w:rPr>
      <w:sz w:val="0"/>
      <w:szCs w:val="0"/>
    </w:rPr>
  </w:style>
  <w:style w:type="character" w:styleId="Hyperlink">
    <w:name w:val="Hyperlink"/>
    <w:basedOn w:val="DefaultParagraphFont"/>
    <w:uiPriority w:val="99"/>
    <w:semiHidden/>
    <w:rsid w:val="00970E81"/>
    <w:rPr>
      <w:rFonts w:cs="Times New Roman"/>
      <w:color w:val="0000FF"/>
      <w:u w:val="single"/>
    </w:rPr>
  </w:style>
  <w:style w:type="paragraph" w:customStyle="1" w:styleId="Titresouschapitre">
    <w:name w:val="Titre_sous_chapitre"/>
    <w:basedOn w:val="TexteChapitre"/>
    <w:next w:val="TexteChapitre"/>
    <w:uiPriority w:val="99"/>
    <w:rsid w:val="00CE2D8B"/>
    <w:pPr>
      <w:jc w:val="center"/>
    </w:pPr>
    <w:rPr>
      <w:i/>
      <w:iCs/>
    </w:rPr>
  </w:style>
  <w:style w:type="paragraph" w:customStyle="1" w:styleId="Encartcouleur">
    <w:name w:val="Encart_couleur"/>
    <w:basedOn w:val="TexteEnumration"/>
    <w:uiPriority w:val="99"/>
    <w:rsid w:val="000922F8"/>
    <w:pPr>
      <w:numPr>
        <w:numId w:val="0"/>
      </w:numPr>
      <w:shd w:val="clear" w:color="auto" w:fill="C0C0C0"/>
    </w:pPr>
  </w:style>
  <w:style w:type="paragraph" w:customStyle="1" w:styleId="PuceTitregras">
    <w:name w:val="Puce_Titre_gras"/>
    <w:basedOn w:val="TexteEnumration"/>
    <w:uiPriority w:val="99"/>
    <w:rsid w:val="00280D10"/>
    <w:pPr>
      <w:numPr>
        <w:numId w:val="7"/>
      </w:numPr>
      <w:tabs>
        <w:tab w:val="clear" w:pos="360"/>
        <w:tab w:val="left" w:pos="357"/>
      </w:tabs>
      <w:ind w:left="357" w:hanging="357"/>
    </w:pPr>
    <w:rPr>
      <w:b/>
      <w:bCs/>
      <w:spacing w:val="-2"/>
    </w:rPr>
  </w:style>
  <w:style w:type="paragraph" w:customStyle="1" w:styleId="Rapportnumero">
    <w:name w:val="Rapport_numero"/>
    <w:basedOn w:val="Normal"/>
    <w:uiPriority w:val="99"/>
    <w:rsid w:val="00D659D5"/>
    <w:pPr>
      <w:jc w:val="center"/>
    </w:pPr>
    <w:rPr>
      <w:sz w:val="18"/>
      <w:szCs w:val="18"/>
    </w:rPr>
  </w:style>
  <w:style w:type="paragraph" w:customStyle="1" w:styleId="TitreChapitrecouleur">
    <w:name w:val="Titre_Chapitre_couleur"/>
    <w:basedOn w:val="Normal"/>
    <w:next w:val="TexteChapitre"/>
    <w:uiPriority w:val="99"/>
    <w:rsid w:val="00D659D5"/>
    <w:pPr>
      <w:pBdr>
        <w:left w:val="inset" w:sz="12" w:space="4" w:color="C0C0C0"/>
        <w:bottom w:val="inset" w:sz="12" w:space="1" w:color="C0C0C0"/>
      </w:pBdr>
      <w:spacing w:after="240"/>
      <w:ind w:left="180" w:right="41"/>
    </w:pPr>
    <w:rPr>
      <w:b/>
      <w:bCs/>
      <w:i/>
      <w:iCs/>
      <w:color w:val="C8092B"/>
      <w:sz w:val="26"/>
      <w:szCs w:val="26"/>
    </w:rPr>
  </w:style>
  <w:style w:type="paragraph" w:customStyle="1" w:styleId="Titresouschapitrecouleur">
    <w:name w:val="Titre_sous_chapitre_couleur"/>
    <w:basedOn w:val="Titresouschapitre"/>
    <w:next w:val="TexteChapitre"/>
    <w:uiPriority w:val="99"/>
    <w:rsid w:val="00CE2D8B"/>
    <w:rPr>
      <w:color w:val="C8092B"/>
    </w:rPr>
  </w:style>
  <w:style w:type="character" w:customStyle="1" w:styleId="Gras">
    <w:name w:val="Gras"/>
    <w:uiPriority w:val="99"/>
    <w:rsid w:val="006D3A99"/>
    <w:rPr>
      <w:rFonts w:cs="Times New Roman"/>
      <w:b/>
      <w:bCs/>
    </w:rPr>
  </w:style>
  <w:style w:type="character" w:customStyle="1" w:styleId="Soulign">
    <w:name w:val="Souligné"/>
    <w:uiPriority w:val="99"/>
    <w:rsid w:val="00DD0A3C"/>
    <w:rPr>
      <w:rFonts w:cs="Times New Roman"/>
      <w:sz w:val="25"/>
      <w:szCs w:val="25"/>
      <w:u w:val="single"/>
    </w:rPr>
  </w:style>
  <w:style w:type="character" w:customStyle="1" w:styleId="Gras10">
    <w:name w:val="Gras_10"/>
    <w:uiPriority w:val="99"/>
    <w:rsid w:val="00DD0A3C"/>
    <w:rPr>
      <w:rFonts w:cs="Times New Roman"/>
      <w:b/>
      <w:bCs/>
      <w:sz w:val="20"/>
      <w:szCs w:val="20"/>
    </w:rPr>
  </w:style>
  <w:style w:type="character" w:customStyle="1" w:styleId="Italique10">
    <w:name w:val="Italique_10"/>
    <w:uiPriority w:val="99"/>
    <w:rsid w:val="00DD0A3C"/>
    <w:rPr>
      <w:rFonts w:ascii="Times New Roman" w:hAnsi="Times New Roman" w:cs="Times New Roman"/>
      <w:i/>
      <w:iCs/>
      <w:sz w:val="20"/>
      <w:szCs w:val="20"/>
    </w:rPr>
  </w:style>
  <w:style w:type="character" w:styleId="FootnoteReference">
    <w:name w:val="footnote reference"/>
    <w:basedOn w:val="DefaultParagraphFont"/>
    <w:uiPriority w:val="99"/>
    <w:semiHidden/>
    <w:rsid w:val="007B0394"/>
    <w:rPr>
      <w:rFonts w:cs="Times New Roman"/>
      <w:vertAlign w:val="superscript"/>
    </w:rPr>
  </w:style>
  <w:style w:type="paragraph" w:customStyle="1" w:styleId="Art2">
    <w:name w:val="Art 2"/>
    <w:basedOn w:val="Normal"/>
    <w:next w:val="Normal"/>
    <w:uiPriority w:val="99"/>
    <w:rsid w:val="00573367"/>
    <w:pPr>
      <w:keepNext/>
      <w:tabs>
        <w:tab w:val="left" w:pos="907"/>
      </w:tabs>
      <w:overflowPunct w:val="0"/>
      <w:autoSpaceDE w:val="0"/>
      <w:autoSpaceDN w:val="0"/>
      <w:adjustRightInd w:val="0"/>
      <w:spacing w:before="120" w:after="360" w:line="240" w:lineRule="atLeast"/>
      <w:jc w:val="both"/>
      <w:textAlignment w:val="baseline"/>
    </w:pPr>
    <w:rPr>
      <w:rFonts w:cs="Times New Roman"/>
      <w:b/>
      <w:bCs/>
      <w:caps/>
      <w:color w:val="FF00FF"/>
      <w:sz w:val="25"/>
      <w:szCs w:val="25"/>
      <w:lang w:val="fr-CA"/>
    </w:rPr>
  </w:style>
  <w:style w:type="character" w:customStyle="1" w:styleId="Italique">
    <w:name w:val="Italique"/>
    <w:uiPriority w:val="99"/>
    <w:rsid w:val="00D4249D"/>
    <w:rPr>
      <w:rFonts w:cs="Times New Roman"/>
      <w:i/>
      <w:iCs/>
    </w:rPr>
  </w:style>
  <w:style w:type="paragraph" w:customStyle="1" w:styleId="AlinaJustifi">
    <w:name w:val="Alinéa Justifié"/>
    <w:basedOn w:val="Normal"/>
    <w:link w:val="AlinaJustifiCar"/>
    <w:uiPriority w:val="99"/>
    <w:rsid w:val="003B3906"/>
    <w:pPr>
      <w:tabs>
        <w:tab w:val="left" w:pos="284"/>
      </w:tabs>
      <w:overflowPunct w:val="0"/>
      <w:autoSpaceDE w:val="0"/>
      <w:autoSpaceDN w:val="0"/>
      <w:adjustRightInd w:val="0"/>
      <w:spacing w:before="120" w:after="120" w:line="240" w:lineRule="atLeast"/>
      <w:ind w:firstLine="907"/>
      <w:jc w:val="both"/>
      <w:textAlignment w:val="baseline"/>
    </w:pPr>
    <w:rPr>
      <w:rFonts w:cs="Times New Roman"/>
      <w:color w:val="0000FF"/>
      <w:spacing w:val="4"/>
      <w:sz w:val="25"/>
      <w:szCs w:val="25"/>
    </w:rPr>
  </w:style>
  <w:style w:type="paragraph" w:customStyle="1" w:styleId="Texteencadrgras10">
    <w:name w:val="Texte_encadré_gras_10"/>
    <w:basedOn w:val="AlinaJustifi"/>
    <w:link w:val="Texteencadrgras10Car"/>
    <w:uiPriority w:val="99"/>
    <w:rsid w:val="006E4D1F"/>
    <w:pPr>
      <w:pBdr>
        <w:top w:val="single" w:sz="4" w:space="4" w:color="auto"/>
        <w:left w:val="single" w:sz="4" w:space="4" w:color="auto"/>
        <w:bottom w:val="single" w:sz="4" w:space="4" w:color="auto"/>
        <w:right w:val="single" w:sz="4" w:space="4" w:color="auto"/>
      </w:pBdr>
      <w:tabs>
        <w:tab w:val="clear" w:pos="284"/>
      </w:tabs>
    </w:pPr>
    <w:rPr>
      <w:b/>
      <w:bCs/>
      <w:color w:val="auto"/>
      <w:sz w:val="20"/>
      <w:szCs w:val="20"/>
    </w:rPr>
  </w:style>
  <w:style w:type="paragraph" w:customStyle="1" w:styleId="Texteencadr10">
    <w:name w:val="Texte encadré 10"/>
    <w:basedOn w:val="AlinaJustifi"/>
    <w:uiPriority w:val="99"/>
    <w:rsid w:val="006E4D1F"/>
    <w:pPr>
      <w:pBdr>
        <w:top w:val="single" w:sz="4" w:space="4" w:color="auto"/>
        <w:left w:val="single" w:sz="4" w:space="4" w:color="auto"/>
        <w:bottom w:val="single" w:sz="4" w:space="4" w:color="auto"/>
        <w:right w:val="single" w:sz="4" w:space="4" w:color="auto"/>
      </w:pBdr>
      <w:tabs>
        <w:tab w:val="clear" w:pos="284"/>
      </w:tabs>
    </w:pPr>
    <w:rPr>
      <w:color w:val="auto"/>
      <w:sz w:val="20"/>
      <w:szCs w:val="20"/>
    </w:rPr>
  </w:style>
  <w:style w:type="character" w:customStyle="1" w:styleId="Texteencadrgras10Car">
    <w:name w:val="Texte_encadré_gras_10 Car"/>
    <w:link w:val="Texteencadrgras10"/>
    <w:uiPriority w:val="99"/>
    <w:rsid w:val="006E4D1F"/>
    <w:rPr>
      <w:rFonts w:cs="Times New Roman"/>
      <w:b/>
      <w:bCs/>
      <w:spacing w:val="4"/>
      <w:lang w:val="fr-FR" w:eastAsia="fr-FR"/>
    </w:rPr>
  </w:style>
  <w:style w:type="character" w:customStyle="1" w:styleId="AlinaJustifiCar">
    <w:name w:val="Alinéa Justifié Car"/>
    <w:link w:val="AlinaJustifi"/>
    <w:uiPriority w:val="99"/>
    <w:rsid w:val="00587C24"/>
    <w:rPr>
      <w:rFonts w:cs="Times New Roman"/>
      <w:color w:val="0000FF"/>
      <w:spacing w:val="4"/>
      <w:sz w:val="25"/>
      <w:szCs w:val="25"/>
      <w:lang w:val="fr-FR" w:eastAsia="fr-FR"/>
    </w:rPr>
  </w:style>
  <w:style w:type="paragraph" w:styleId="FootnoteText">
    <w:name w:val="footnote text"/>
    <w:basedOn w:val="Normal"/>
    <w:link w:val="FootnoteTextChar"/>
    <w:uiPriority w:val="99"/>
    <w:semiHidden/>
    <w:rsid w:val="009903D6"/>
    <w:pPr>
      <w:overflowPunct w:val="0"/>
      <w:autoSpaceDE w:val="0"/>
      <w:autoSpaceDN w:val="0"/>
      <w:adjustRightInd w:val="0"/>
      <w:jc w:val="both"/>
      <w:textAlignment w:val="baseline"/>
    </w:pPr>
    <w:rPr>
      <w:rFonts w:cs="Times New Roman"/>
      <w:i/>
      <w:iCs/>
      <w:spacing w:val="4"/>
      <w:sz w:val="20"/>
      <w:szCs w:val="20"/>
    </w:rPr>
  </w:style>
  <w:style w:type="character" w:customStyle="1" w:styleId="FootnoteTextChar">
    <w:name w:val="Footnote Text Char"/>
    <w:basedOn w:val="DefaultParagraphFont"/>
    <w:link w:val="FootnoteText"/>
    <w:uiPriority w:val="99"/>
    <w:semiHidden/>
    <w:rsid w:val="007F6329"/>
    <w:rPr>
      <w:rFonts w:ascii="Arial" w:hAnsi="Arial" w:cs="Arial"/>
      <w:sz w:val="20"/>
      <w:szCs w:val="20"/>
    </w:rPr>
  </w:style>
  <w:style w:type="character" w:customStyle="1" w:styleId="Caractresansattribut">
    <w:name w:val="Caractère_sans_attribut"/>
    <w:basedOn w:val="DefaultParagraphFont"/>
    <w:uiPriority w:val="99"/>
    <w:rsid w:val="00C65A27"/>
    <w:rPr>
      <w:rFonts w:cs="Times New Roman"/>
    </w:rPr>
  </w:style>
  <w:style w:type="paragraph" w:customStyle="1" w:styleId="Style">
    <w:name w:val="Style"/>
    <w:basedOn w:val="Normal"/>
    <w:uiPriority w:val="99"/>
    <w:rsid w:val="00770BE6"/>
    <w:pPr>
      <w:spacing w:after="160" w:line="240" w:lineRule="exact"/>
    </w:pPr>
    <w:rPr>
      <w:rFonts w:ascii="Tahoma" w:hAnsi="Tahoma" w:cs="Tahoma"/>
      <w:sz w:val="20"/>
      <w:szCs w:val="20"/>
      <w:lang w:val="en-US" w:eastAsia="en-US"/>
    </w:rPr>
  </w:style>
  <w:style w:type="character" w:customStyle="1" w:styleId="GrasItalique">
    <w:name w:val="Gras_Italique"/>
    <w:uiPriority w:val="99"/>
    <w:rsid w:val="00563F19"/>
    <w:rPr>
      <w:rFonts w:cs="Times New Roman"/>
      <w:b/>
      <w:bCs/>
      <w:i/>
      <w:iCs/>
    </w:rPr>
  </w:style>
  <w:style w:type="paragraph" w:styleId="ListBullet">
    <w:name w:val="List Bullet"/>
    <w:basedOn w:val="Normal"/>
    <w:link w:val="ListBulletChar"/>
    <w:uiPriority w:val="99"/>
    <w:rsid w:val="00D06335"/>
    <w:pPr>
      <w:numPr>
        <w:numId w:val="9"/>
      </w:numPr>
      <w:tabs>
        <w:tab w:val="clear" w:pos="720"/>
        <w:tab w:val="num" w:pos="360"/>
      </w:tabs>
      <w:ind w:left="360"/>
    </w:pPr>
  </w:style>
  <w:style w:type="character" w:customStyle="1" w:styleId="ListBulletChar">
    <w:name w:val="List Bullet Char"/>
    <w:link w:val="ListBullet"/>
    <w:uiPriority w:val="99"/>
    <w:rsid w:val="00D06335"/>
    <w:rPr>
      <w:rFonts w:ascii="Arial" w:hAnsi="Arial" w:cs="Arial"/>
      <w:sz w:val="24"/>
      <w:szCs w:val="24"/>
      <w:lang w:val="fr-FR" w:eastAsia="fr-FR"/>
    </w:rPr>
  </w:style>
  <w:style w:type="paragraph" w:customStyle="1" w:styleId="CarCarCar">
    <w:name w:val="Car Car Car"/>
    <w:basedOn w:val="Normal"/>
    <w:uiPriority w:val="99"/>
    <w:rsid w:val="0063344D"/>
    <w:pPr>
      <w:spacing w:after="160" w:line="240" w:lineRule="exact"/>
    </w:pPr>
    <w:rPr>
      <w:rFonts w:ascii="Tahoma" w:hAnsi="Tahoma" w:cs="Tahoma"/>
      <w:sz w:val="20"/>
      <w:szCs w:val="20"/>
      <w:lang w:val="en-US" w:eastAsia="en-US"/>
    </w:rPr>
  </w:style>
  <w:style w:type="paragraph" w:customStyle="1" w:styleId="listeavectirets">
    <w:name w:val="liste avec tirets"/>
    <w:basedOn w:val="Normal"/>
    <w:uiPriority w:val="99"/>
    <w:rsid w:val="00C325EA"/>
    <w:pPr>
      <w:numPr>
        <w:numId w:val="11"/>
      </w:numPr>
      <w:overflowPunct w:val="0"/>
      <w:autoSpaceDE w:val="0"/>
      <w:autoSpaceDN w:val="0"/>
      <w:adjustRightInd w:val="0"/>
      <w:textAlignment w:val="baseline"/>
    </w:pPr>
    <w:rPr>
      <w:rFonts w:cs="Times New Roman"/>
      <w:spacing w:val="4"/>
      <w:sz w:val="25"/>
      <w:szCs w:val="25"/>
    </w:rPr>
  </w:style>
  <w:style w:type="paragraph" w:customStyle="1" w:styleId="Car1">
    <w:name w:val="Car1"/>
    <w:basedOn w:val="Normal"/>
    <w:uiPriority w:val="99"/>
    <w:rsid w:val="007C1472"/>
    <w:pPr>
      <w:spacing w:after="160" w:line="240" w:lineRule="exact"/>
    </w:pPr>
    <w:rPr>
      <w:rFonts w:ascii="Tahoma" w:hAnsi="Tahoma" w:cs="Tahoma"/>
      <w:sz w:val="20"/>
      <w:szCs w:val="20"/>
      <w:lang w:val="en-US" w:eastAsia="en-US"/>
    </w:rPr>
  </w:style>
  <w:style w:type="paragraph" w:styleId="Subtitle">
    <w:name w:val="Subtitle"/>
    <w:basedOn w:val="Normal"/>
    <w:next w:val="Normal"/>
    <w:link w:val="SubtitleChar"/>
    <w:uiPriority w:val="99"/>
    <w:qFormat/>
    <w:rsid w:val="00C162F5"/>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rsid w:val="00C162F5"/>
    <w:rPr>
      <w:rFonts w:ascii="Cambria" w:hAnsi="Cambria" w:cs="Cambria"/>
      <w:sz w:val="24"/>
      <w:szCs w:val="24"/>
    </w:rPr>
  </w:style>
  <w:style w:type="paragraph" w:styleId="NormalWeb">
    <w:name w:val="Normal (Web)"/>
    <w:basedOn w:val="Normal"/>
    <w:uiPriority w:val="99"/>
    <w:rsid w:val="00B432EA"/>
    <w:pPr>
      <w:spacing w:before="100" w:beforeAutospacing="1" w:after="100" w:afterAutospacing="1"/>
    </w:pPr>
    <w:rPr>
      <w:rFonts w:cs="Times New Roman"/>
      <w:sz w:val="24"/>
      <w:szCs w:val="24"/>
    </w:rPr>
  </w:style>
  <w:style w:type="character" w:styleId="FollowedHyperlink">
    <w:name w:val="FollowedHyperlink"/>
    <w:basedOn w:val="DefaultParagraphFont"/>
    <w:uiPriority w:val="99"/>
    <w:rsid w:val="00D677C9"/>
    <w:rPr>
      <w:rFonts w:cs="Times New Roman"/>
      <w:color w:val="800080"/>
      <w:u w:val="single"/>
    </w:rPr>
  </w:style>
  <w:style w:type="paragraph" w:customStyle="1" w:styleId="Car11">
    <w:name w:val="Car11"/>
    <w:basedOn w:val="Normal"/>
    <w:uiPriority w:val="99"/>
    <w:rsid w:val="001315FF"/>
    <w:pPr>
      <w:spacing w:after="160" w:line="240" w:lineRule="exact"/>
    </w:pPr>
    <w:rPr>
      <w:rFonts w:ascii="Tahoma" w:hAnsi="Tahoma" w:cs="Tahoma"/>
      <w:sz w:val="20"/>
      <w:szCs w:val="20"/>
      <w:lang w:val="en-US" w:eastAsia="en-US"/>
    </w:rPr>
  </w:style>
  <w:style w:type="paragraph" w:customStyle="1" w:styleId="CharCharCharCharCharCharCharCharCharCharCharZnakZnakChar">
    <w:name w:val="Char Char Char Char Char Char Char Char Char Char Char Znak Znak Char"/>
    <w:basedOn w:val="Normal"/>
    <w:uiPriority w:val="99"/>
    <w:rsid w:val="00610054"/>
    <w:rPr>
      <w:rFonts w:cs="Times New Roman"/>
      <w:sz w:val="24"/>
      <w:szCs w:val="24"/>
      <w:lang w:val="pl-PL" w:eastAsia="pl-PL"/>
    </w:rPr>
  </w:style>
  <w:style w:type="paragraph" w:styleId="ListParagraph">
    <w:name w:val="List Paragraph"/>
    <w:basedOn w:val="Normal"/>
    <w:uiPriority w:val="99"/>
    <w:qFormat/>
    <w:rsid w:val="00032F9E"/>
    <w:pPr>
      <w:ind w:left="720"/>
      <w:contextualSpacing/>
    </w:pPr>
  </w:style>
</w:styles>
</file>

<file path=word/webSettings.xml><?xml version="1.0" encoding="utf-8"?>
<w:webSettings xmlns:r="http://schemas.openxmlformats.org/officeDocument/2006/relationships" xmlns:w="http://schemas.openxmlformats.org/wordprocessingml/2006/main">
  <w:divs>
    <w:div w:id="206994031">
      <w:marLeft w:val="0"/>
      <w:marRight w:val="0"/>
      <w:marTop w:val="0"/>
      <w:marBottom w:val="0"/>
      <w:divBdr>
        <w:top w:val="none" w:sz="0" w:space="0" w:color="auto"/>
        <w:left w:val="none" w:sz="0" w:space="0" w:color="auto"/>
        <w:bottom w:val="none" w:sz="0" w:space="0" w:color="auto"/>
        <w:right w:val="none" w:sz="0" w:space="0" w:color="auto"/>
      </w:divBdr>
    </w:div>
    <w:div w:id="206994033">
      <w:marLeft w:val="0"/>
      <w:marRight w:val="0"/>
      <w:marTop w:val="0"/>
      <w:marBottom w:val="0"/>
      <w:divBdr>
        <w:top w:val="none" w:sz="0" w:space="0" w:color="auto"/>
        <w:left w:val="none" w:sz="0" w:space="0" w:color="auto"/>
        <w:bottom w:val="none" w:sz="0" w:space="0" w:color="auto"/>
        <w:right w:val="none" w:sz="0" w:space="0" w:color="auto"/>
      </w:divBdr>
      <w:divsChild>
        <w:div w:id="206994044">
          <w:marLeft w:val="0"/>
          <w:marRight w:val="0"/>
          <w:marTop w:val="0"/>
          <w:marBottom w:val="0"/>
          <w:divBdr>
            <w:top w:val="none" w:sz="0" w:space="0" w:color="auto"/>
            <w:left w:val="none" w:sz="0" w:space="0" w:color="auto"/>
            <w:bottom w:val="none" w:sz="0" w:space="0" w:color="auto"/>
            <w:right w:val="none" w:sz="0" w:space="0" w:color="auto"/>
          </w:divBdr>
          <w:divsChild>
            <w:div w:id="206994034">
              <w:marLeft w:val="0"/>
              <w:marRight w:val="0"/>
              <w:marTop w:val="0"/>
              <w:marBottom w:val="0"/>
              <w:divBdr>
                <w:top w:val="none" w:sz="0" w:space="0" w:color="auto"/>
                <w:left w:val="none" w:sz="0" w:space="0" w:color="auto"/>
                <w:bottom w:val="none" w:sz="0" w:space="0" w:color="auto"/>
                <w:right w:val="none" w:sz="0" w:space="0" w:color="auto"/>
              </w:divBdr>
            </w:div>
            <w:div w:id="206994035">
              <w:marLeft w:val="0"/>
              <w:marRight w:val="0"/>
              <w:marTop w:val="0"/>
              <w:marBottom w:val="0"/>
              <w:divBdr>
                <w:top w:val="none" w:sz="0" w:space="0" w:color="auto"/>
                <w:left w:val="none" w:sz="0" w:space="0" w:color="auto"/>
                <w:bottom w:val="none" w:sz="0" w:space="0" w:color="auto"/>
                <w:right w:val="none" w:sz="0" w:space="0" w:color="auto"/>
              </w:divBdr>
            </w:div>
            <w:div w:id="20699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4037">
      <w:marLeft w:val="0"/>
      <w:marRight w:val="0"/>
      <w:marTop w:val="0"/>
      <w:marBottom w:val="0"/>
      <w:divBdr>
        <w:top w:val="none" w:sz="0" w:space="0" w:color="auto"/>
        <w:left w:val="none" w:sz="0" w:space="0" w:color="auto"/>
        <w:bottom w:val="none" w:sz="0" w:space="0" w:color="auto"/>
        <w:right w:val="none" w:sz="0" w:space="0" w:color="auto"/>
      </w:divBdr>
      <w:divsChild>
        <w:div w:id="206994045">
          <w:marLeft w:val="0"/>
          <w:marRight w:val="0"/>
          <w:marTop w:val="0"/>
          <w:marBottom w:val="0"/>
          <w:divBdr>
            <w:top w:val="none" w:sz="0" w:space="0" w:color="auto"/>
            <w:left w:val="none" w:sz="0" w:space="0" w:color="auto"/>
            <w:bottom w:val="none" w:sz="0" w:space="0" w:color="auto"/>
            <w:right w:val="none" w:sz="0" w:space="0" w:color="auto"/>
          </w:divBdr>
          <w:divsChild>
            <w:div w:id="206994036">
              <w:marLeft w:val="0"/>
              <w:marRight w:val="0"/>
              <w:marTop w:val="0"/>
              <w:marBottom w:val="0"/>
              <w:divBdr>
                <w:top w:val="none" w:sz="0" w:space="0" w:color="auto"/>
                <w:left w:val="none" w:sz="0" w:space="0" w:color="auto"/>
                <w:bottom w:val="none" w:sz="0" w:space="0" w:color="auto"/>
                <w:right w:val="none" w:sz="0" w:space="0" w:color="auto"/>
              </w:divBdr>
            </w:div>
            <w:div w:id="206994041">
              <w:marLeft w:val="0"/>
              <w:marRight w:val="0"/>
              <w:marTop w:val="0"/>
              <w:marBottom w:val="0"/>
              <w:divBdr>
                <w:top w:val="none" w:sz="0" w:space="0" w:color="auto"/>
                <w:left w:val="none" w:sz="0" w:space="0" w:color="auto"/>
                <w:bottom w:val="none" w:sz="0" w:space="0" w:color="auto"/>
                <w:right w:val="none" w:sz="0" w:space="0" w:color="auto"/>
              </w:divBdr>
            </w:div>
            <w:div w:id="2069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4043">
      <w:marLeft w:val="0"/>
      <w:marRight w:val="0"/>
      <w:marTop w:val="0"/>
      <w:marBottom w:val="0"/>
      <w:divBdr>
        <w:top w:val="none" w:sz="0" w:space="0" w:color="auto"/>
        <w:left w:val="none" w:sz="0" w:space="0" w:color="auto"/>
        <w:bottom w:val="none" w:sz="0" w:space="0" w:color="auto"/>
        <w:right w:val="none" w:sz="0" w:space="0" w:color="auto"/>
      </w:divBdr>
      <w:divsChild>
        <w:div w:id="206994042">
          <w:marLeft w:val="0"/>
          <w:marRight w:val="0"/>
          <w:marTop w:val="0"/>
          <w:marBottom w:val="0"/>
          <w:divBdr>
            <w:top w:val="none" w:sz="0" w:space="0" w:color="auto"/>
            <w:left w:val="none" w:sz="0" w:space="0" w:color="auto"/>
            <w:bottom w:val="none" w:sz="0" w:space="0" w:color="auto"/>
            <w:right w:val="none" w:sz="0" w:space="0" w:color="auto"/>
          </w:divBdr>
          <w:divsChild>
            <w:div w:id="206994030">
              <w:marLeft w:val="0"/>
              <w:marRight w:val="0"/>
              <w:marTop w:val="0"/>
              <w:marBottom w:val="0"/>
              <w:divBdr>
                <w:top w:val="none" w:sz="0" w:space="0" w:color="auto"/>
                <w:left w:val="none" w:sz="0" w:space="0" w:color="auto"/>
                <w:bottom w:val="none" w:sz="0" w:space="0" w:color="auto"/>
                <w:right w:val="none" w:sz="0" w:space="0" w:color="auto"/>
              </w:divBdr>
            </w:div>
            <w:div w:id="206994032">
              <w:marLeft w:val="0"/>
              <w:marRight w:val="0"/>
              <w:marTop w:val="0"/>
              <w:marBottom w:val="0"/>
              <w:divBdr>
                <w:top w:val="none" w:sz="0" w:space="0" w:color="auto"/>
                <w:left w:val="none" w:sz="0" w:space="0" w:color="auto"/>
                <w:bottom w:val="none" w:sz="0" w:space="0" w:color="auto"/>
                <w:right w:val="none" w:sz="0" w:space="0" w:color="auto"/>
              </w:divBdr>
            </w:div>
            <w:div w:id="206994038">
              <w:marLeft w:val="0"/>
              <w:marRight w:val="0"/>
              <w:marTop w:val="0"/>
              <w:marBottom w:val="0"/>
              <w:divBdr>
                <w:top w:val="none" w:sz="0" w:space="0" w:color="auto"/>
                <w:left w:val="none" w:sz="0" w:space="0" w:color="auto"/>
                <w:bottom w:val="none" w:sz="0" w:space="0" w:color="auto"/>
                <w:right w:val="none" w:sz="0" w:space="0" w:color="auto"/>
              </w:divBdr>
            </w:div>
            <w:div w:id="2069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http://intranet.senat.fr/interne/pratique/logo/logoquadri_150dpi_25.bm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yperlink" Target="http://www.senat.fr/commission/loi/index.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enat.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nat.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ena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2148</Words>
  <Characters>11816</Characters>
  <Application>Microsoft Office Outlook</Application>
  <DocSecurity>0</DocSecurity>
  <Lines>0</Lines>
  <Paragraphs>0</Paragraphs>
  <ScaleCrop>false</ScaleCrop>
  <Company>Senat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CONTRATS DE PARTENARIAT : DES BOMBES A RETARDEMENT </dc:title>
  <dc:subject/>
  <dc:creator>AC Didier</dc:creator>
  <cp:keywords/>
  <dc:description/>
  <cp:lastModifiedBy>babdat</cp:lastModifiedBy>
  <cp:revision>2</cp:revision>
  <cp:lastPrinted>2014-07-15T16:07:00Z</cp:lastPrinted>
  <dcterms:created xsi:type="dcterms:W3CDTF">2014-07-17T16:08:00Z</dcterms:created>
  <dcterms:modified xsi:type="dcterms:W3CDTF">2014-07-17T16:08:00Z</dcterms:modified>
</cp:coreProperties>
</file>